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3A" w:rsidRDefault="009A113A" w:rsidP="009A113A">
      <w:pPr>
        <w:autoSpaceDN w:val="0"/>
        <w:jc w:val="left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1：</w:t>
      </w:r>
      <w:r>
        <w:rPr>
          <w:rFonts w:ascii="宋体" w:hAnsi="宋体"/>
          <w:b/>
          <w:sz w:val="32"/>
          <w:szCs w:val="32"/>
        </w:rPr>
        <w:t>山东省预拌砂浆生产企业备案登记基本条件</w:t>
      </w:r>
    </w:p>
    <w:p w:rsidR="009A113A" w:rsidRDefault="009A113A" w:rsidP="009A113A">
      <w:pPr>
        <w:autoSpaceDN w:val="0"/>
        <w:jc w:val="center"/>
        <w:rPr>
          <w:sz w:val="32"/>
          <w:szCs w:val="32"/>
        </w:rPr>
      </w:pP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一、生产能力</w:t>
      </w:r>
    </w:p>
    <w:p w:rsidR="009A113A" w:rsidRDefault="009A113A" w:rsidP="009A113A">
      <w:pPr>
        <w:autoSpaceDN w:val="0"/>
        <w:ind w:firstLine="56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具</w:t>
      </w:r>
      <w:r>
        <w:rPr>
          <w:rFonts w:ascii="仿宋_GB2312" w:eastAsia="仿宋_GB2312" w:hint="eastAsia"/>
          <w:sz w:val="32"/>
          <w:szCs w:val="32"/>
        </w:rPr>
        <w:t>有符合要求</w:t>
      </w:r>
      <w:proofErr w:type="gramStart"/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Ansi="仿宋_GB2312"/>
          <w:sz w:val="32"/>
          <w:szCs w:val="32"/>
        </w:rPr>
        <w:t>干混砂浆</w:t>
      </w:r>
      <w:proofErr w:type="gramEnd"/>
      <w:r>
        <w:rPr>
          <w:rFonts w:ascii="仿宋_GB2312" w:eastAsia="仿宋_GB2312" w:hAnsi="仿宋_GB2312"/>
          <w:sz w:val="32"/>
          <w:szCs w:val="32"/>
        </w:rPr>
        <w:t>生产设备，年设计生产能力不低于</w:t>
      </w:r>
      <w:r>
        <w:rPr>
          <w:rFonts w:ascii="仿宋_GB2312" w:eastAsia="仿宋_GB2312" w:hAnsi="仿宋_GB2312" w:hint="eastAsia"/>
          <w:sz w:val="32"/>
          <w:szCs w:val="32"/>
        </w:rPr>
        <w:t>20</w:t>
      </w:r>
      <w:r>
        <w:rPr>
          <w:rFonts w:ascii="仿宋_GB2312" w:eastAsia="仿宋_GB2312" w:hAnsi="仿宋_GB2312"/>
          <w:sz w:val="32"/>
          <w:szCs w:val="32"/>
        </w:rPr>
        <w:t>万吨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>
        <w:rPr>
          <w:rFonts w:ascii="仿宋_GB2312" w:eastAsia="仿宋_GB2312" w:hAnsi="仿宋_GB2312"/>
          <w:sz w:val="32"/>
          <w:szCs w:val="32"/>
        </w:rPr>
        <w:t>其中干混散装砂浆产品的散装设备设施能力应达到70％以上。</w:t>
      </w:r>
    </w:p>
    <w:p w:rsidR="009A113A" w:rsidRDefault="009A113A" w:rsidP="009A113A">
      <w:pPr>
        <w:autoSpaceDN w:val="0"/>
        <w:ind w:firstLine="5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具</w:t>
      </w:r>
      <w:r>
        <w:rPr>
          <w:rFonts w:ascii="仿宋_GB2312" w:eastAsia="仿宋_GB2312" w:hint="eastAsia"/>
          <w:sz w:val="32"/>
          <w:szCs w:val="32"/>
        </w:rPr>
        <w:t>有符合要求的湿拌砂浆专用生产</w:t>
      </w:r>
      <w:r>
        <w:rPr>
          <w:rFonts w:ascii="仿宋_GB2312" w:eastAsia="仿宋_GB2312" w:hAnsi="仿宋_GB2312"/>
          <w:sz w:val="32"/>
          <w:szCs w:val="32"/>
        </w:rPr>
        <w:t>设备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/>
          <w:sz w:val="32"/>
          <w:szCs w:val="32"/>
        </w:rPr>
        <w:t>年设计生产能力不低于</w:t>
      </w:r>
      <w:r>
        <w:rPr>
          <w:rFonts w:ascii="仿宋_GB2312" w:eastAsia="仿宋_GB2312" w:hint="eastAsia"/>
          <w:sz w:val="32"/>
          <w:szCs w:val="32"/>
        </w:rPr>
        <w:t>10万立方米。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二、生产设备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1、有符合预拌砂浆生产工艺要求的专用生产线；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2、砂的干燥、筛分设备应能确保砂的含水率小</w:t>
      </w:r>
      <w:r>
        <w:rPr>
          <w:rFonts w:ascii="仿宋_GB2312" w:eastAsia="仿宋_GB2312" w:hAnsi="仿宋_GB2312" w:hint="eastAsia"/>
          <w:sz w:val="32"/>
          <w:szCs w:val="32"/>
        </w:rPr>
        <w:t>于0.</w:t>
      </w:r>
      <w:r>
        <w:rPr>
          <w:rFonts w:ascii="仿宋_GB2312" w:eastAsia="仿宋_GB2312" w:hAnsi="仿宋_GB2312"/>
          <w:sz w:val="32"/>
          <w:szCs w:val="32"/>
        </w:rPr>
        <w:t>5％，砂粒径不大于5mm；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3、水泥、矿物掺合料、外加剂、保水增</w:t>
      </w:r>
      <w:proofErr w:type="gramStart"/>
      <w:r>
        <w:rPr>
          <w:rFonts w:ascii="仿宋_GB2312" w:eastAsia="仿宋_GB2312" w:hAnsi="仿宋_GB2312"/>
          <w:sz w:val="32"/>
          <w:szCs w:val="32"/>
        </w:rPr>
        <w:t>稠材料</w:t>
      </w:r>
      <w:proofErr w:type="gramEnd"/>
      <w:r>
        <w:rPr>
          <w:rFonts w:ascii="仿宋_GB2312" w:eastAsia="仿宋_GB2312" w:hAnsi="仿宋_GB2312"/>
          <w:sz w:val="32"/>
          <w:szCs w:val="32"/>
        </w:rPr>
        <w:t>等物料应有专用贮存筒仓，并能实现自动上料称量；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4、应有精确、高效的自动配料计量系统，计量设备应满足计量精度要求。原材料的计量允许偏差应满足《预拌砂浆》</w:t>
      </w:r>
      <w:r>
        <w:rPr>
          <w:rFonts w:ascii="仿宋_GB2312" w:eastAsia="仿宋_GB2312" w:hAnsi="仿宋_GB2312" w:hint="eastAsia"/>
          <w:sz w:val="32"/>
          <w:szCs w:val="32"/>
        </w:rPr>
        <w:t>GB</w:t>
      </w:r>
      <w:r>
        <w:rPr>
          <w:rFonts w:ascii="仿宋_GB2312" w:eastAsia="仿宋_GB2312" w:hAnsi="仿宋_GB2312"/>
          <w:sz w:val="32"/>
          <w:szCs w:val="32"/>
        </w:rPr>
        <w:t>/T</w:t>
      </w:r>
      <w:r>
        <w:rPr>
          <w:rFonts w:ascii="仿宋_GB2312" w:eastAsia="仿宋_GB2312" w:hAnsi="仿宋_GB2312" w:hint="eastAsia"/>
          <w:sz w:val="32"/>
          <w:szCs w:val="32"/>
        </w:rPr>
        <w:t>25181</w:t>
      </w:r>
      <w:r>
        <w:rPr>
          <w:rFonts w:ascii="仿宋_GB2312" w:eastAsia="仿宋_GB2312" w:hAnsi="仿宋_GB2312"/>
          <w:sz w:val="32"/>
          <w:szCs w:val="32"/>
        </w:rPr>
        <w:t>规定要求；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5、应配有高效砂浆混合机；</w:t>
      </w:r>
    </w:p>
    <w:p w:rsidR="009A113A" w:rsidRDefault="009A113A" w:rsidP="009A113A">
      <w:pPr>
        <w:autoSpaceDN w:val="0"/>
        <w:ind w:firstLine="56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6、</w:t>
      </w:r>
      <w:r>
        <w:rPr>
          <w:rFonts w:ascii="仿宋_GB2312" w:eastAsia="仿宋_GB2312" w:hAnsi="仿宋_GB2312" w:hint="eastAsia"/>
          <w:sz w:val="32"/>
          <w:szCs w:val="32"/>
        </w:rPr>
        <w:t>生产线应整体封闭式管理，</w:t>
      </w:r>
      <w:r>
        <w:rPr>
          <w:rFonts w:ascii="仿宋_GB2312" w:eastAsia="仿宋_GB2312" w:hAnsi="仿宋_GB2312"/>
          <w:sz w:val="32"/>
          <w:szCs w:val="32"/>
        </w:rPr>
        <w:t>应有粉尘回收系统，</w:t>
      </w:r>
      <w:r>
        <w:rPr>
          <w:rFonts w:ascii="仿宋_GB2312" w:eastAsia="仿宋_GB2312" w:hAnsi="仿宋_GB2312" w:hint="eastAsia"/>
          <w:sz w:val="32"/>
          <w:szCs w:val="32"/>
        </w:rPr>
        <w:t>确保</w:t>
      </w:r>
      <w:r>
        <w:rPr>
          <w:rFonts w:ascii="仿宋_GB2312" w:eastAsia="仿宋_GB2312" w:hAnsi="仿宋_GB2312"/>
          <w:sz w:val="32"/>
          <w:szCs w:val="32"/>
        </w:rPr>
        <w:t>生产现场</w:t>
      </w:r>
      <w:r>
        <w:rPr>
          <w:rFonts w:ascii="仿宋_GB2312" w:eastAsia="仿宋_GB2312" w:hAnsi="仿宋_GB2312" w:hint="eastAsia"/>
          <w:sz w:val="32"/>
          <w:szCs w:val="32"/>
        </w:rPr>
        <w:t>符合</w:t>
      </w:r>
      <w:r>
        <w:rPr>
          <w:rFonts w:ascii="仿宋_GB2312" w:eastAsia="仿宋_GB2312" w:hAnsi="仿宋_GB2312"/>
          <w:sz w:val="32"/>
          <w:szCs w:val="32"/>
        </w:rPr>
        <w:t>环境</w:t>
      </w:r>
      <w:r>
        <w:rPr>
          <w:rFonts w:ascii="仿宋_GB2312" w:eastAsia="仿宋_GB2312" w:hAnsi="仿宋_GB2312" w:hint="eastAsia"/>
          <w:sz w:val="32"/>
          <w:szCs w:val="32"/>
        </w:rPr>
        <w:t>保护要求</w:t>
      </w:r>
      <w:r>
        <w:rPr>
          <w:rFonts w:ascii="仿宋_GB2312" w:eastAsia="仿宋_GB2312" w:hAnsi="仿宋_GB2312"/>
          <w:sz w:val="32"/>
          <w:szCs w:val="32"/>
        </w:rPr>
        <w:t>；</w:t>
      </w:r>
    </w:p>
    <w:p w:rsidR="009A113A" w:rsidRDefault="009A113A" w:rsidP="009A113A">
      <w:pPr>
        <w:autoSpaceDN w:val="0"/>
        <w:ind w:firstLine="56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7、电脑控制系统应能实现整个生产工艺流程的自动控制，自动处理配料、称重、混合等，并具有配方、记录和统计显</w:t>
      </w:r>
      <w:r>
        <w:rPr>
          <w:rFonts w:ascii="仿宋_GB2312" w:eastAsia="仿宋_GB2312" w:hAnsi="仿宋_GB2312"/>
          <w:sz w:val="32"/>
          <w:szCs w:val="32"/>
        </w:rPr>
        <w:lastRenderedPageBreak/>
        <w:t xml:space="preserve">示等。 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8、应具备与生产能力相配套的散装物料等专用运输和储存设备，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干混砂浆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专用车辆应配置车载收尘系统，湿拌砂浆企业应配备余料和污水回收系统。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三、技术条件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、应有向用户提供的具有针对性、可操作性的预拌砂浆产品使用说明书，产品合格证；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/>
          <w:sz w:val="32"/>
          <w:szCs w:val="32"/>
        </w:rPr>
        <w:t>、应</w:t>
      </w:r>
      <w:r>
        <w:rPr>
          <w:rFonts w:ascii="仿宋_GB2312" w:eastAsia="仿宋_GB2312" w:hAnsi="仿宋_GB2312" w:hint="eastAsia"/>
          <w:sz w:val="32"/>
          <w:szCs w:val="32"/>
        </w:rPr>
        <w:t>依据预拌</w:t>
      </w:r>
      <w:r>
        <w:rPr>
          <w:rFonts w:ascii="仿宋_GB2312" w:eastAsia="仿宋_GB2312" w:hAnsi="仿宋_GB2312"/>
          <w:sz w:val="32"/>
          <w:szCs w:val="32"/>
        </w:rPr>
        <w:t>砂浆配合比设计规程等标准进行配合比设计和试验，其质量指标应满足《预拌砂浆》GB/T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/>
          <w:sz w:val="32"/>
          <w:szCs w:val="32"/>
        </w:rPr>
        <w:t>25181标准及其它相应标准要求;有合同约定的，尚应符合合同约定。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四、人员条件</w:t>
      </w:r>
    </w:p>
    <w:p w:rsidR="009A113A" w:rsidRDefault="009A113A" w:rsidP="009A113A">
      <w:pPr>
        <w:autoSpaceDN w:val="0"/>
        <w:ind w:firstLine="560"/>
        <w:jc w:val="lef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1、企业负责人、</w:t>
      </w:r>
      <w:r>
        <w:rPr>
          <w:rFonts w:ascii="仿宋_GB2312" w:eastAsia="仿宋_GB2312" w:hAnsi="仿宋_GB2312" w:hint="eastAsia"/>
          <w:sz w:val="32"/>
          <w:szCs w:val="32"/>
        </w:rPr>
        <w:t>技术负责人应具有3年以上从事相关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 w:hAnsi="仿宋_GB2312" w:hint="eastAsia"/>
          <w:sz w:val="32"/>
          <w:szCs w:val="32"/>
        </w:rPr>
        <w:t>工作经历，企业技术负责人并应具有相关专业中级或中级以上职称；</w:t>
      </w:r>
    </w:p>
    <w:p w:rsidR="009A113A" w:rsidRDefault="009A113A" w:rsidP="009A113A">
      <w:pPr>
        <w:autoSpaceDN w:val="0"/>
        <w:ind w:firstLine="5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技术人员（大专以上学历、工作两年以上、建筑材料、工民建、混凝土及混凝土制品专业）不得少于8人，并形成科研、工程服务专业团队。</w:t>
      </w:r>
    </w:p>
    <w:p w:rsidR="009A113A" w:rsidRDefault="009A113A" w:rsidP="009A113A">
      <w:pPr>
        <w:autoSpaceDN w:val="0"/>
        <w:ind w:firstLine="5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2、试验、质检人员应有省级以上培训合格证或其它有效培训记录证明；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3、其它岗位人员应明确操作管理规程和本岗位职责。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五、试验室条件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企业必须有可独立进行砂浆检测的试验室，应符合《山</w:t>
      </w:r>
      <w:r>
        <w:rPr>
          <w:rFonts w:ascii="仿宋_GB2312" w:eastAsia="仿宋_GB2312" w:hAnsi="仿宋_GB2312"/>
          <w:sz w:val="32"/>
          <w:szCs w:val="32"/>
        </w:rPr>
        <w:lastRenderedPageBreak/>
        <w:t>东省预拌砂浆生产企业备案登记试验室基本条件》的要求。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六、质量管理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1、有产品质量保证体系和健全的各项管理制度。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2、原材料质量管理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1)预拌砂浆所用原材料不应对人体、生物与环境造成有害的影响，并应符合《建筑材料放射性核素限量》GB6566的规定。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2)每种原材料应建立原材料管理台帐，所采购的材料应具有质量证明文件，并按照相关标准规定进行验收，经验收合格后方可使用。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3)无现行国家、行业产品标准的原材料，供货单位应提供地方、企业标准，或省级以上产品鉴定证明文件，以及出厂检验报告、合格证、使用说明书。材料使用前应进行试验验证。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4)水泥、矿物掺合料、保水增稠材料、外加剂等材料应按生产厂家、品种、规格等分仓贮存，并有明显的标识。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3、预拌砂浆的计量、搅拌（混合）、生产、运送等应满足《预拌砂浆》GB/T25181标准规定要求。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4、</w:t>
      </w:r>
      <w:r>
        <w:rPr>
          <w:rFonts w:ascii="仿宋_GB2312" w:eastAsia="仿宋_GB2312" w:hAnsi="仿宋_GB2312" w:hint="eastAsia"/>
          <w:sz w:val="32"/>
          <w:szCs w:val="32"/>
        </w:rPr>
        <w:t>预拌</w:t>
      </w:r>
      <w:r>
        <w:rPr>
          <w:rFonts w:ascii="仿宋_GB2312" w:eastAsia="仿宋_GB2312" w:hAnsi="仿宋_GB2312"/>
          <w:sz w:val="32"/>
          <w:szCs w:val="32"/>
        </w:rPr>
        <w:t>砂浆的配合比管理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1)</w:t>
      </w:r>
      <w:r>
        <w:rPr>
          <w:rFonts w:ascii="仿宋_GB2312" w:eastAsia="仿宋_GB2312" w:hAnsi="仿宋_GB2312" w:hint="eastAsia"/>
          <w:sz w:val="32"/>
          <w:szCs w:val="32"/>
        </w:rPr>
        <w:t xml:space="preserve"> 产品批量生产前应进行配合比设计，应根据产品的技术要求及施工条件、</w:t>
      </w:r>
      <w:r>
        <w:rPr>
          <w:rFonts w:ascii="仿宋_GB2312" w:eastAsia="仿宋_GB2312" w:hAnsi="仿宋_GB2312"/>
          <w:sz w:val="32"/>
          <w:szCs w:val="32"/>
        </w:rPr>
        <w:t>本</w:t>
      </w:r>
      <w:r>
        <w:rPr>
          <w:rFonts w:ascii="仿宋_GB2312" w:eastAsia="仿宋_GB2312" w:hAnsi="仿宋_GB2312" w:hint="eastAsia"/>
          <w:sz w:val="32"/>
          <w:szCs w:val="32"/>
        </w:rPr>
        <w:t>企业</w:t>
      </w:r>
      <w:r>
        <w:rPr>
          <w:rFonts w:ascii="仿宋_GB2312" w:eastAsia="仿宋_GB2312" w:hAnsi="仿宋_GB2312"/>
          <w:sz w:val="32"/>
          <w:szCs w:val="32"/>
        </w:rPr>
        <w:t>常用的</w:t>
      </w:r>
      <w:r>
        <w:rPr>
          <w:rFonts w:ascii="仿宋_GB2312" w:eastAsia="仿宋_GB2312" w:hAnsi="仿宋_GB2312" w:hint="eastAsia"/>
          <w:sz w:val="32"/>
          <w:szCs w:val="32"/>
        </w:rPr>
        <w:t>原</w:t>
      </w:r>
      <w:r>
        <w:rPr>
          <w:rFonts w:ascii="仿宋_GB2312" w:eastAsia="仿宋_GB2312" w:hAnsi="仿宋_GB2312"/>
          <w:sz w:val="32"/>
          <w:szCs w:val="32"/>
        </w:rPr>
        <w:t>材料</w:t>
      </w:r>
      <w:r>
        <w:rPr>
          <w:rFonts w:ascii="仿宋_GB2312" w:eastAsia="仿宋_GB2312" w:hAnsi="仿宋_GB2312" w:hint="eastAsia"/>
          <w:sz w:val="32"/>
          <w:szCs w:val="32"/>
        </w:rPr>
        <w:t>的性能进行配合比的设计计算，并经试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配调整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确定</w:t>
      </w:r>
      <w:r>
        <w:rPr>
          <w:rFonts w:ascii="仿宋_GB2312" w:eastAsia="仿宋_GB2312" w:hAnsi="仿宋_GB2312"/>
          <w:sz w:val="32"/>
          <w:szCs w:val="32"/>
        </w:rPr>
        <w:t>常用</w:t>
      </w:r>
      <w:r>
        <w:rPr>
          <w:rFonts w:ascii="仿宋_GB2312" w:eastAsia="仿宋_GB2312" w:hAnsi="仿宋_GB2312" w:hint="eastAsia"/>
          <w:sz w:val="32"/>
          <w:szCs w:val="32"/>
        </w:rPr>
        <w:t>预拌</w:t>
      </w:r>
      <w:r>
        <w:rPr>
          <w:rFonts w:ascii="仿宋_GB2312" w:eastAsia="仿宋_GB2312" w:hAnsi="仿宋_GB2312"/>
          <w:sz w:val="32"/>
          <w:szCs w:val="32"/>
        </w:rPr>
        <w:t>砂浆配合比，建立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预拌</w:t>
      </w:r>
      <w:r>
        <w:rPr>
          <w:rFonts w:ascii="仿宋_GB2312" w:eastAsia="仿宋_GB2312" w:hAnsi="仿宋_GB2312"/>
          <w:sz w:val="32"/>
          <w:szCs w:val="32"/>
        </w:rPr>
        <w:t>砂浆配合比的试验台帐及汇总表</w:t>
      </w:r>
      <w:r>
        <w:rPr>
          <w:rFonts w:ascii="仿宋_GB2312" w:eastAsia="仿宋_GB2312" w:hAnsi="仿宋_GB2312" w:hint="eastAsia"/>
          <w:sz w:val="32"/>
          <w:szCs w:val="32"/>
        </w:rPr>
        <w:t>。应</w:t>
      </w:r>
      <w:r>
        <w:rPr>
          <w:rFonts w:ascii="仿宋_GB2312" w:eastAsia="仿宋_GB2312" w:hAnsi="仿宋_GB2312"/>
          <w:sz w:val="32"/>
          <w:szCs w:val="32"/>
        </w:rPr>
        <w:t>严格按照试验室的配比通知单组织生产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2)当对</w:t>
      </w:r>
      <w:r>
        <w:rPr>
          <w:rFonts w:ascii="仿宋_GB2312" w:eastAsia="仿宋_GB2312" w:hAnsi="仿宋_GB2312" w:hint="eastAsia"/>
          <w:sz w:val="32"/>
          <w:szCs w:val="32"/>
        </w:rPr>
        <w:t>预拌</w:t>
      </w:r>
      <w:r>
        <w:rPr>
          <w:rFonts w:ascii="仿宋_GB2312" w:eastAsia="仿宋_GB2312" w:hAnsi="仿宋_GB2312"/>
          <w:sz w:val="32"/>
          <w:szCs w:val="32"/>
        </w:rPr>
        <w:t>砂浆的性能指标有特殊要求、</w:t>
      </w:r>
      <w:r>
        <w:rPr>
          <w:rFonts w:ascii="仿宋_GB2312" w:eastAsia="仿宋_GB2312" w:hAnsi="仿宋_GB2312" w:hint="eastAsia"/>
          <w:sz w:val="32"/>
          <w:szCs w:val="32"/>
        </w:rPr>
        <w:t>预拌</w:t>
      </w:r>
      <w:r>
        <w:rPr>
          <w:rFonts w:ascii="仿宋_GB2312" w:eastAsia="仿宋_GB2312" w:hAnsi="仿宋_GB2312"/>
          <w:sz w:val="32"/>
          <w:szCs w:val="32"/>
        </w:rPr>
        <w:t>砂浆的组成材料发生显著变化时，或当需要使用新材料生产预拌砂浆时，必须经过试验室重新</w:t>
      </w:r>
      <w:r>
        <w:rPr>
          <w:rFonts w:ascii="仿宋_GB2312" w:eastAsia="仿宋_GB2312" w:hAnsi="仿宋_GB2312" w:hint="eastAsia"/>
          <w:sz w:val="32"/>
          <w:szCs w:val="32"/>
        </w:rPr>
        <w:t>设计、</w:t>
      </w:r>
      <w:r>
        <w:rPr>
          <w:rFonts w:ascii="仿宋_GB2312" w:eastAsia="仿宋_GB2312" w:hAnsi="仿宋_GB2312"/>
          <w:sz w:val="32"/>
          <w:szCs w:val="32"/>
        </w:rPr>
        <w:t>试验确定预拌砂浆质量能够满足标准或合同要求时，</w:t>
      </w:r>
      <w:proofErr w:type="gramStart"/>
      <w:r>
        <w:rPr>
          <w:rFonts w:ascii="仿宋_GB2312" w:eastAsia="仿宋_GB2312" w:hAnsi="仿宋_GB2312"/>
          <w:sz w:val="32"/>
          <w:szCs w:val="32"/>
        </w:rPr>
        <w:t>该配合比才能</w:t>
      </w:r>
      <w:proofErr w:type="gramEnd"/>
      <w:r>
        <w:rPr>
          <w:rFonts w:ascii="仿宋_GB2312" w:eastAsia="仿宋_GB2312" w:hAnsi="仿宋_GB2312"/>
          <w:sz w:val="32"/>
          <w:szCs w:val="32"/>
        </w:rPr>
        <w:t>在实际生产中使用。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5、生产质量控制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1)生产配合比的确定及记录应完整；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2)</w:t>
      </w:r>
      <w:r>
        <w:rPr>
          <w:rFonts w:ascii="仿宋_GB2312" w:eastAsia="仿宋_GB2312" w:hAnsi="仿宋_GB2312" w:hint="eastAsia"/>
          <w:sz w:val="32"/>
          <w:szCs w:val="32"/>
        </w:rPr>
        <w:t>预拌</w:t>
      </w:r>
      <w:r>
        <w:rPr>
          <w:rFonts w:ascii="仿宋_GB2312" w:eastAsia="仿宋_GB2312" w:hAnsi="仿宋_GB2312"/>
          <w:sz w:val="32"/>
          <w:szCs w:val="32"/>
        </w:rPr>
        <w:t>砂浆生产及质量控制记录应齐全；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3)各种设备的检修保养制度及记录应齐全；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4)产品出厂检验必须严格执行现行的有关国家标准、地方标准的规定，对不同品种、不同等级的</w:t>
      </w:r>
      <w:r>
        <w:rPr>
          <w:rFonts w:ascii="仿宋_GB2312" w:eastAsia="仿宋_GB2312" w:hAnsi="仿宋_GB2312" w:hint="eastAsia"/>
          <w:sz w:val="32"/>
          <w:szCs w:val="32"/>
        </w:rPr>
        <w:t>预拌</w:t>
      </w:r>
      <w:r>
        <w:rPr>
          <w:rFonts w:ascii="仿宋_GB2312" w:eastAsia="仿宋_GB2312" w:hAnsi="仿宋_GB2312"/>
          <w:sz w:val="32"/>
          <w:szCs w:val="32"/>
        </w:rPr>
        <w:t>砂浆，严格按生产批次进行取样检验，并建立相应的记录。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6、技术资料的管理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必须建立</w:t>
      </w:r>
      <w:r>
        <w:rPr>
          <w:rFonts w:ascii="仿宋_GB2312" w:eastAsia="仿宋_GB2312" w:hAnsi="仿宋_GB2312" w:hint="eastAsia"/>
          <w:sz w:val="32"/>
          <w:szCs w:val="32"/>
        </w:rPr>
        <w:t>预拌</w:t>
      </w:r>
      <w:r>
        <w:rPr>
          <w:rFonts w:ascii="仿宋_GB2312" w:eastAsia="仿宋_GB2312" w:hAnsi="仿宋_GB2312"/>
          <w:sz w:val="32"/>
          <w:szCs w:val="32"/>
        </w:rPr>
        <w:t>砂浆生产的技术资料</w:t>
      </w:r>
      <w:r>
        <w:rPr>
          <w:rFonts w:ascii="仿宋_GB2312" w:eastAsia="仿宋_GB2312" w:hAnsi="仿宋_GB2312" w:hint="eastAsia"/>
          <w:sz w:val="32"/>
          <w:szCs w:val="32"/>
        </w:rPr>
        <w:t>档案</w:t>
      </w:r>
      <w:r>
        <w:rPr>
          <w:rFonts w:ascii="仿宋_GB2312" w:eastAsia="仿宋_GB2312" w:hAnsi="仿宋_GB2312"/>
          <w:sz w:val="32"/>
          <w:szCs w:val="32"/>
        </w:rPr>
        <w:t>，且便于查询。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七、产品质量指标应满足《预拌砂浆》GB/T25181标准及其它相应标准要求;有合同约定的，尚应符合合同约定。产品质量</w:t>
      </w:r>
      <w:r>
        <w:rPr>
          <w:rFonts w:ascii="仿宋_GB2312" w:eastAsia="仿宋_GB2312" w:hAnsi="仿宋_GB2312" w:hint="eastAsia"/>
          <w:sz w:val="32"/>
          <w:szCs w:val="32"/>
        </w:rPr>
        <w:t>经</w:t>
      </w:r>
      <w:r>
        <w:rPr>
          <w:rFonts w:ascii="仿宋_GB2312" w:eastAsia="仿宋_GB2312" w:hAnsi="仿宋_GB2312"/>
          <w:sz w:val="32"/>
          <w:szCs w:val="32"/>
        </w:rPr>
        <w:t>检验合格后方可出厂，并向用户出具产品质量合格证；</w:t>
      </w:r>
    </w:p>
    <w:p w:rsidR="009A113A" w:rsidRDefault="009A113A" w:rsidP="009A113A">
      <w:pPr>
        <w:autoSpaceDN w:val="0"/>
        <w:ind w:firstLine="560"/>
        <w:jc w:val="left"/>
        <w:rPr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八、安全生产和环境保护应符合有关规定。</w:t>
      </w:r>
    </w:p>
    <w:p w:rsidR="00336430" w:rsidRPr="009A113A" w:rsidRDefault="009A113A"/>
    <w:sectPr w:rsidR="00336430" w:rsidRPr="009A113A" w:rsidSect="00BD6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13A"/>
    <w:rsid w:val="006F2B03"/>
    <w:rsid w:val="008C2EBA"/>
    <w:rsid w:val="009A113A"/>
    <w:rsid w:val="00BD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Lixt</dc:creator>
  <cp:lastModifiedBy>Lixt</cp:lastModifiedBy>
  <cp:revision>1</cp:revision>
  <dcterms:created xsi:type="dcterms:W3CDTF">2016-04-21T02:17:00Z</dcterms:created>
  <dcterms:modified xsi:type="dcterms:W3CDTF">2016-04-21T02:18:00Z</dcterms:modified>
</cp:coreProperties>
</file>