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工业和信息化部办公厅 财政部办公厅</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国家税务总局办公厅关于2024年度享受</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增值税加计抵减政策的先进制造业企业名单</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制定工作有关事项的通知</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工信厅联财函〔2024〕248号</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各省、自治区、直辖市及计划单列市工业和信息化主管部门、财政厅（局），国家税务总局各省、自治区、直辖市、计划单列市税务局：</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贯彻落实中央经济工作会议和《政府工作报告》部署要求，通过结构性减税降费政策支持科技创新和制造业发展，做好2024年度享受增值税加计抵减政策的先进制造业企业名单（以下简称2024年度名单）制定工作，根据《财政部税务总局关于先进制造业企业增值税加计抵减政策的公告》（财政部税务总局公告2023年第43号）有关规定，现将相关事项通知如下：</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本通知所称名单是指财政部、税务总局2023年第43号公告中提及的享受增值税加计抵减政策的先进制造业企业名单。先进制造业企业是指高新技术企业（含所属的非法人分支机构，以下简称分支机构）中的制造业一般纳税人。高新技术企业是指按照《科技部 财政部 国家税务总局关于修订印发〈高新技术企业认定管理办法〉的通知》（国科发火〔2016〕32号）规定认定的高新技术企业。</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二、各省、自治区、直辖市及计划单列市工业和信息化主管部门（以下称地方工业和信息化主管部门）会同同级科技、财政、税务部门确定名单。</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进入2024年度名单的企业，应在2024年内具备高新技术企业资格，且2023年1月1日至12月31日期间，企业从事制造业业务相应发生的销售额合计占全部销售额比重50%（不含）以上，全部销售额及制造业产品销售额均不含增值税。制造业行业属性判定请参照《国民经济行业分类》（GB/T 4754—2017）中“制造业”门类（C类）。</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（二）对于企业委托外部进行生产加工，本身不从事产品的生产加工，相关销售额不计入制造业产品销售额；受托企业满足本通知相关规定的情况下，受托企业的加工费可计入从事制造业业务相应发生销售额。</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（三）企业登陆高新技术企业认定管理工作网（http://www.innocom.gov.cn/）提交申请材料，一次申报且审核通过后按规定时限享受政策。</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三、企业申报时间</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对于已在《2023年度享受增值税加计抵减政策先进制造业企业名单》中，且当前高新技术企业资格仍有效的企业，于2024年6月30日起暂停享受政策。拟继续申请进入2024年度名单的，可于2024年7月起的每月1日至10日提交申请，截止时间为2025年4月10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（二）新申请进入2024年度名单的企业，可于2024年9月起的每月1日至10日提交申请，截止时间为2025年4月10日。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四、政策享受时限</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（一）高新技术企业资格在2024年全年有效的企业，享受政策时间为2024年1月1日至2025年4月30日。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（二）高新技术企业资格在2024年内到期，且未在2024年内取得新的高新技术企业资格的企业，享受政策时间为2024年1月1日至12月31日。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（三）高新技术企业资格在2024年内到期，并在2024年内取得新的高新技术企业资格的企业，享受政策时间为2024年1月1日至2025年4月30日。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（四）2024年新认定的高新技术企业，享受政策时间为2024年1月1日至2025年4月30日。</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五、分支机构申请享受政策，由总公司一并填报相关信息。在总公司具备高新技术企业资格且所属行业为制造业的情况下：</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对于增值税汇总纳税企业，由总公司汇总计算分支机构销售额及比重，分支机构不单独享受政策，总公司所在地的地方工业和信息化主管部门会同同级科技、财政、税务部门按照本通知规定，确定总公司能否享受政策。</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对于非增值税汇总纳税，且分支机构所属行业为制造业的企业，总公司和分支机构分别计算销售额及比重，总公司和分支机构所在地的地方工业和信息化主管部门会同同级科技、财政、税务部门按照本通知规定，分别确定总公司和分支机构能否享受政策。</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六、地方工业和信息化主管部门应与同级科技、财政、税务部门畅通信息共享渠道，健全工作协同机制，简化企业纳税申报流程，认真做好组织实施，确保政策稳妥推进、精准落实到位。</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（一）地方工业和信息化主管部门可组织下级工业和信息化主管部门会同同级科技、财政、税务部门对企业申报信息进行审核和名单推荐。</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地方工业和信息化主管部门对企业是否从事制造业行业、科技部门或工业和信息化主管部门按职责对企业高新技术企业资格（以高新技术企业证书为准）、税务部门对企业销售数据及是否为一般纳税人等情况进行复核，对复核不通过企业应注明理由。</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（三）地方工业和信息化主管部门原则上于2024年7月起每月底前将通过的企业名单推送税务部门，地方税务部门原则上于2024年8月起每月底前将政策执行情况及减税成效反馈地方工业和信息化主管部门。</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七、企业发生更名、整体迁移或与认定条件有关重大变化的，应根据国科发火〔2016〕32号文件相关要求向所在地区高新技术企业认定管理机构报告相关情况并办理手续，并在高新技术企业认定管理工作网完成相关信息变更后再申请享受政策，同时向地方工业和信息化主管部门说明情况并提供相关证明材料，由地方工业和信息化主管部门会同同级科技、财政、税务部门确定企业发生变更情形后是否符合继续享受政策的条件。完成整体迁移的企业，在迁入地重新申报享受政策。</w:t>
      </w:r>
    </w:p>
    <w:p>
      <w:pPr>
        <w:keepNext w:val="0"/>
        <w:keepLines w:val="0"/>
        <w:widowControl w:val="0"/>
        <w:suppressLineNumbers w:val="0"/>
        <w:autoSpaceDE w:val="0"/>
        <w:autoSpaceDN/>
        <w:spacing w:before="0" w:beforeAutospacing="0" w:after="0" w:afterAutospacing="0" w:line="600" w:lineRule="exact"/>
        <w:ind w:left="0" w:right="0" w:firstLine="652"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申报企业按照“自愿申报、真实发生、相关材料留存备查”原则，对所提供材料和数据的真实性负责，承诺如出现失信行为，接受有关部门按照法律、法规和国家有关规定处理。地方工业和信息化主管部门会同同级科技、财政、税务部门按职责分工对名单内企业加强日常监管。在监管过程中，如发现企业存在以虚假信息获得减免税资格，税务部门应追缴已享受的减免税款，并按照税收征收管理法的有关规定处理。对因被取消高新技术企业资格等原因不再符合享受政策条件的企业，地方工业和信息化主管部门形成不再享受政策企业名单并推送同级税务部门，名单内企业自不符合政策条件之月起不再享受政策。</w:t>
      </w:r>
    </w:p>
    <w:p>
      <w:pPr>
        <w:keepNext w:val="0"/>
        <w:keepLines w:val="0"/>
        <w:widowControl w:val="0"/>
        <w:suppressLineNumbers w:val="0"/>
        <w:autoSpaceDE w:val="0"/>
        <w:autoSpaceDN/>
        <w:spacing w:before="0" w:beforeAutospacing="0" w:after="0" w:afterAutospacing="0" w:line="600" w:lineRule="exact"/>
        <w:ind w:right="0"/>
        <w:jc w:val="both"/>
        <w:rPr>
          <w:rFonts w:hint="default" w:ascii="Times New Roman" w:hAnsi="Times New Roman" w:eastAsia="仿宋_GB2312" w:cs="Times New Roman"/>
          <w:kern w:val="2"/>
          <w:sz w:val="32"/>
          <w:szCs w:val="32"/>
          <w:lang w:val="en-US" w:eastAsia="zh-CN" w:bidi="ar"/>
        </w:rPr>
      </w:pPr>
    </w:p>
    <w:p>
      <w:pPr>
        <w:keepNext w:val="0"/>
        <w:keepLines w:val="0"/>
        <w:widowControl w:val="0"/>
        <w:suppressLineNumbers w:val="0"/>
        <w:autoSpaceDE w:val="0"/>
        <w:autoSpaceDN/>
        <w:spacing w:before="0" w:beforeAutospacing="0" w:after="0" w:afterAutospacing="0" w:line="600" w:lineRule="exact"/>
        <w:ind w:right="0" w:firstLine="326" w:firstLineChars="1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"https://www.miit.gov.cn/cms_files/filemanager/1226211233/attach/20246/291d8c15cc8a4ed5b59c164b6124dbb9.wps" </w:instrText>
      </w:r>
      <w:r>
        <w:rPr>
          <w:rFonts w:hint="default" w:ascii="Times New Roman" w:hAnsi="Times New Roman" w:eastAsia="仿宋_GB2312" w:cs="Times New Roman"/>
          <w:kern w:val="2"/>
          <w:sz w:val="32"/>
          <w:szCs w:val="32"/>
          <w:lang w:val="en-US" w:eastAsia="zh-CN" w:bidi="ar"/>
        </w:rPr>
        <w:fldChar w:fldCharType="separate"/>
      </w:r>
      <w:r>
        <w:rPr>
          <w:rFonts w:hint="default" w:ascii="Times New Roman" w:hAnsi="Times New Roman" w:eastAsia="仿宋_GB2312" w:cs="Times New Roman"/>
          <w:kern w:val="2"/>
          <w:sz w:val="32"/>
          <w:szCs w:val="32"/>
          <w:lang w:val="en-US" w:eastAsia="zh-CN" w:bidi="ar"/>
        </w:rPr>
        <w:t>1.2024年度先进制造业企业增值税加计抵减政策申</w:t>
      </w:r>
    </w:p>
    <w:p>
      <w:pPr>
        <w:keepNext w:val="0"/>
        <w:keepLines w:val="0"/>
        <w:widowControl w:val="0"/>
        <w:suppressLineNumbers w:val="0"/>
        <w:autoSpaceDE w:val="0"/>
        <w:autoSpaceDN/>
        <w:spacing w:before="0" w:beforeAutospacing="0" w:after="0" w:afterAutospacing="0" w:line="600" w:lineRule="exact"/>
        <w:ind w:left="0" w:right="0" w:firstLine="1630" w:firstLineChars="5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报表</w:t>
      </w:r>
      <w:r>
        <w:rPr>
          <w:rFonts w:hint="default" w:ascii="Times New Roman" w:hAnsi="Times New Roman" w:eastAsia="仿宋_GB2312" w:cs="Times New Roman"/>
          <w:kern w:val="2"/>
          <w:sz w:val="32"/>
          <w:szCs w:val="32"/>
          <w:lang w:val="en-US" w:eastAsia="zh-CN" w:bidi="ar"/>
        </w:rPr>
        <w:fldChar w:fldCharType="end"/>
      </w:r>
    </w:p>
    <w:p>
      <w:pPr>
        <w:keepNext w:val="0"/>
        <w:keepLines w:val="0"/>
        <w:widowControl w:val="0"/>
        <w:suppressLineNumbers w:val="0"/>
        <w:autoSpaceDE w:val="0"/>
        <w:autoSpaceDN/>
        <w:spacing w:before="0" w:beforeAutospacing="0" w:after="0" w:afterAutospacing="0" w:line="600" w:lineRule="exact"/>
        <w:ind w:right="0" w:firstLine="1304" w:firstLineChars="4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"https://www.miit.gov.cn/cms_files/filemanager/1226211233/attach/20244/e8a488a44fe14dc49c77159109b2546e.wps" </w:instrText>
      </w:r>
      <w:r>
        <w:rPr>
          <w:rFonts w:hint="default" w:ascii="Times New Roman" w:hAnsi="Times New Roman" w:eastAsia="仿宋_GB2312" w:cs="Times New Roman"/>
          <w:kern w:val="2"/>
          <w:sz w:val="32"/>
          <w:szCs w:val="32"/>
          <w:lang w:val="en-US" w:eastAsia="zh-CN" w:bidi="ar"/>
        </w:rPr>
        <w:fldChar w:fldCharType="separate"/>
      </w:r>
      <w:r>
        <w:rPr>
          <w:rFonts w:hint="default" w:ascii="Times New Roman" w:hAnsi="Times New Roman" w:eastAsia="仿宋_GB2312" w:cs="Times New Roman"/>
          <w:kern w:val="2"/>
          <w:sz w:val="32"/>
          <w:szCs w:val="32"/>
          <w:lang w:val="en-US" w:eastAsia="zh-CN" w:bidi="ar"/>
        </w:rPr>
        <w:t>2.2024年度享受增值税加计抵减政策先进制造业企</w:t>
      </w:r>
    </w:p>
    <w:p>
      <w:pPr>
        <w:keepNext w:val="0"/>
        <w:keepLines w:val="0"/>
        <w:widowControl w:val="0"/>
        <w:suppressLineNumbers w:val="0"/>
        <w:autoSpaceDE w:val="0"/>
        <w:autoSpaceDN/>
        <w:spacing w:before="0" w:beforeAutospacing="0" w:after="0" w:afterAutospacing="0" w:line="600" w:lineRule="exact"/>
        <w:ind w:right="0" w:firstLine="1630" w:firstLineChars="5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业名单</w:t>
      </w:r>
      <w:r>
        <w:rPr>
          <w:rFonts w:hint="default" w:ascii="Times New Roman" w:hAnsi="Times New Roman" w:eastAsia="仿宋_GB2312" w:cs="Times New Roman"/>
          <w:kern w:val="2"/>
          <w:sz w:val="32"/>
          <w:szCs w:val="32"/>
          <w:lang w:val="en-US" w:eastAsia="zh-CN" w:bidi="ar"/>
        </w:rPr>
        <w:fldChar w:fldCharType="end"/>
      </w:r>
    </w:p>
    <w:p>
      <w:pPr>
        <w:keepNext w:val="0"/>
        <w:keepLines w:val="0"/>
        <w:widowControl w:val="0"/>
        <w:suppressLineNumbers w:val="0"/>
        <w:autoSpaceDE w:val="0"/>
        <w:autoSpaceDN/>
        <w:spacing w:before="0" w:beforeAutospacing="0" w:after="0" w:afterAutospacing="0" w:line="600" w:lineRule="exact"/>
        <w:ind w:left="1639" w:leftChars="608" w:right="0" w:hanging="326" w:hangingChars="1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"https://www.miit.gov.cn/cms_files/filemanager/1226211233/attach/20246/ae2552ff57e74463b4d5443af7fa38b5.wps" </w:instrText>
      </w:r>
      <w:r>
        <w:rPr>
          <w:rFonts w:hint="default" w:ascii="Times New Roman" w:hAnsi="Times New Roman" w:eastAsia="仿宋_GB2312" w:cs="Times New Roman"/>
          <w:kern w:val="2"/>
          <w:sz w:val="32"/>
          <w:szCs w:val="32"/>
          <w:lang w:val="en-US" w:eastAsia="zh-CN" w:bidi="ar"/>
        </w:rPr>
        <w:fldChar w:fldCharType="separate"/>
      </w:r>
      <w:r>
        <w:rPr>
          <w:rFonts w:hint="default" w:ascii="Times New Roman" w:hAnsi="Times New Roman" w:eastAsia="仿宋_GB2312" w:cs="Times New Roman"/>
          <w:kern w:val="2"/>
          <w:sz w:val="32"/>
          <w:szCs w:val="32"/>
          <w:lang w:val="en-US" w:eastAsia="zh-CN" w:bidi="ar"/>
        </w:rPr>
        <w:t>3.不再享受先进制造业企业增值税加计抵减政策名单</w:t>
      </w:r>
      <w:r>
        <w:rPr>
          <w:rFonts w:hint="default" w:ascii="Times New Roman" w:hAnsi="Times New Roman" w:eastAsia="仿宋_GB2312" w:cs="Times New Roman"/>
          <w:kern w:val="2"/>
          <w:sz w:val="32"/>
          <w:szCs w:val="32"/>
          <w:lang w:val="en-US" w:eastAsia="zh-CN" w:bidi="ar"/>
        </w:rPr>
        <w:fldChar w:fldCharType="end"/>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bookmarkStart w:id="0" w:name="_GoBack"/>
      <w:bookmarkEnd w:id="0"/>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工业和信息化部办公厅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财政部办公厅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国家税务总局办公厅</w:t>
      </w:r>
    </w:p>
    <w:p>
      <w:pPr>
        <w:keepNext w:val="0"/>
        <w:keepLines w:val="0"/>
        <w:widowControl w:val="0"/>
        <w:suppressLineNumbers w:val="0"/>
        <w:autoSpaceDE w:val="0"/>
        <w:autoSpaceDN/>
        <w:spacing w:before="0" w:beforeAutospacing="0" w:after="0" w:afterAutospacing="0" w:line="60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2024年6月24日</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rPr>
      </w:pPr>
    </w:p>
    <w:sectPr>
      <w:footerReference r:id="rId3" w:type="default"/>
      <w:pgSz w:w="11906" w:h="16838"/>
      <w:pgMar w:top="2041" w:right="1531" w:bottom="1927"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1"/>
      <w:jc w:val="right"/>
      <w:rPr>
        <w:rFonts w:hint="eastAsia" w:ascii="楷体_GB2312" w:eastAsia="楷体_GB2312"/>
        <w:sz w:val="28"/>
      </w:rPr>
    </w:pPr>
    <w:r>
      <w:rPr>
        <w:rStyle w:val="9"/>
        <w:rFonts w:hint="eastAsia" w:ascii="楷体_GB2312" w:eastAsia="楷体_GB2312"/>
        <w:sz w:val="28"/>
      </w:rPr>
      <w:t>—</w:t>
    </w:r>
    <w:r>
      <w:rPr>
        <w:rFonts w:hint="eastAsia" w:ascii="楷体_GB2312" w:eastAsia="楷体_GB2312"/>
        <w:sz w:val="28"/>
      </w:rPr>
      <w:fldChar w:fldCharType="begin"/>
    </w:r>
    <w:r>
      <w:rPr>
        <w:rStyle w:val="9"/>
        <w:rFonts w:hint="eastAsia" w:ascii="楷体_GB2312" w:eastAsia="楷体_GB2312"/>
        <w:sz w:val="28"/>
      </w:rPr>
      <w:instrText xml:space="preserve"> PAGE </w:instrText>
    </w:r>
    <w:r>
      <w:rPr>
        <w:rFonts w:hint="eastAsia" w:ascii="楷体_GB2312" w:eastAsia="楷体_GB2312"/>
        <w:sz w:val="28"/>
      </w:rPr>
      <w:fldChar w:fldCharType="separate"/>
    </w:r>
    <w:r>
      <w:rPr>
        <w:rStyle w:val="9"/>
        <w:rFonts w:ascii="楷体_GB2312" w:eastAsia="楷体_GB2312"/>
        <w:sz w:val="28"/>
      </w:rPr>
      <w:t>1</w:t>
    </w:r>
    <w:r>
      <w:rPr>
        <w:rFonts w:hint="eastAsia" w:ascii="楷体_GB2312" w:eastAsia="楷体_GB2312"/>
        <w:sz w:val="28"/>
      </w:rPr>
      <w:fldChar w:fldCharType="end"/>
    </w:r>
    <w:r>
      <w:rPr>
        <w:rStyle w:val="9"/>
        <w:rFonts w:hint="eastAsia" w:ascii="楷体_GB2312" w:eastAsia="楷体_GB2312"/>
        <w:sz w:val="28"/>
      </w:rPr>
      <w:t>—</w:t>
    </w:r>
    <w:r>
      <w:rPr>
        <w:rStyle w:val="9"/>
        <w:rFonts w:hint="eastAsia" w:ascii="楷体_GB2312" w:eastAsia="楷体_GB2312"/>
        <w:color w:val="FFFFFF"/>
        <w:sz w:val="28"/>
      </w:rPr>
      <w:t xml:space="preserve"> </w:t>
    </w:r>
    <w:r>
      <w:rPr>
        <w:rStyle w:val="9"/>
        <w:rFonts w:hint="eastAsia" w:ascii="楷体_GB2312" w:eastAsia="楷体_GB2312"/>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jI2MGEwNmI5OGNiODY5NzIwZTBkOGFhNWI2NTAifQ=="/>
    <w:docVar w:name="KSO_WPS_MARK_KEY" w:val="aa71f546-a4ac-479c-9dc8-ab11017ad152"/>
  </w:docVars>
  <w:rsids>
    <w:rsidRoot w:val="00A324D7"/>
    <w:rsid w:val="002C4321"/>
    <w:rsid w:val="0042743C"/>
    <w:rsid w:val="00A324D7"/>
    <w:rsid w:val="00C3145A"/>
    <w:rsid w:val="05717CD6"/>
    <w:rsid w:val="063B7194"/>
    <w:rsid w:val="0A530F50"/>
    <w:rsid w:val="18DF7CE6"/>
    <w:rsid w:val="21CF48EB"/>
    <w:rsid w:val="301D2076"/>
    <w:rsid w:val="35327DC1"/>
    <w:rsid w:val="4F29BB64"/>
    <w:rsid w:val="5CAE65CE"/>
    <w:rsid w:val="5DFF26B1"/>
    <w:rsid w:val="62BF6B5B"/>
    <w:rsid w:val="706908B3"/>
    <w:rsid w:val="79DA0F00"/>
    <w:rsid w:val="7EF37CA1"/>
    <w:rsid w:val="FFD928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widowControl w:val="0"/>
      <w:suppressLineNumbers w:val="0"/>
      <w:spacing w:before="150" w:beforeLines="150" w:beforeAutospacing="0" w:after="100" w:afterLines="100" w:afterAutospacing="0" w:line="600" w:lineRule="exact"/>
      <w:ind w:firstLine="0" w:firstLineChars="0"/>
      <w:jc w:val="center"/>
      <w:outlineLvl w:val="0"/>
    </w:pPr>
    <w:rPr>
      <w:rFonts w:hint="default" w:ascii="Calibri" w:hAnsi="Calibri" w:eastAsia="方正小标宋简体" w:cs="Times New Roman"/>
      <w:b/>
      <w:bCs/>
      <w:kern w:val="44"/>
      <w:sz w:val="44"/>
      <w:szCs w:val="4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qFormat/>
    <w:uiPriority w:val="0"/>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表格内容"/>
    <w:basedOn w:val="1"/>
    <w:uiPriority w:val="0"/>
    <w:pPr>
      <w:keepNext w:val="0"/>
      <w:keepLines w:val="0"/>
      <w:widowControl w:val="0"/>
      <w:suppressLineNumbers w:val="0"/>
      <w:spacing w:before="0" w:beforeAutospacing="0" w:after="0" w:afterAutospacing="0"/>
      <w:ind w:left="0" w:right="0" w:firstLine="0" w:firstLineChars="0"/>
      <w:jc w:val="both"/>
    </w:pPr>
    <w:rPr>
      <w:rFonts w:hint="default" w:ascii="Calibri" w:hAnsi="Calibri" w:eastAsia="宋体" w:cs="Times New Roman"/>
      <w:kern w:val="2"/>
      <w:sz w:val="30"/>
      <w:szCs w:val="3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2382</Words>
  <Characters>2555</Characters>
  <Lines>1</Lines>
  <Paragraphs>1</Paragraphs>
  <TotalTime>4</TotalTime>
  <ScaleCrop>false</ScaleCrop>
  <LinksUpToDate>false</LinksUpToDate>
  <CharactersWithSpaces>2560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2019-07-18T07:12:00Z</dcterms:created>
  <dc:creator>政务办公室</dc:creator>
  <cp:lastModifiedBy>杨肖方</cp:lastModifiedBy>
  <dcterms:modified xsi:type="dcterms:W3CDTF">2024-07-16T01:31:54Z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AFD86F82550B445888C2946AE3426158</vt:lpwstr>
  </property>
</Properties>
</file>