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仿宋" w:hAnsi="仿宋" w:eastAsia="仿宋" w:cs="仿宋"/>
          <w:sz w:val="32"/>
          <w:szCs w:val="32"/>
        </w:rPr>
      </w:pPr>
      <w:r>
        <w:rPr>
          <w:rFonts w:hint="eastAsia" w:ascii="仿宋" w:hAnsi="仿宋" w:eastAsia="仿宋" w:cs="仿宋"/>
          <w:sz w:val="32"/>
          <w:szCs w:val="32"/>
        </w:rPr>
        <w:t>附件</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山东省推进黄金产业转型升级</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实现高质量发展的意见</w:t>
      </w:r>
    </w:p>
    <w:p>
      <w:pPr>
        <w:spacing w:line="560" w:lineRule="exact"/>
        <w:jc w:val="center"/>
        <w:rPr>
          <w:rFonts w:ascii="楷体" w:hAnsi="楷体" w:eastAsia="楷体" w:cs="楷体"/>
          <w:sz w:val="36"/>
          <w:szCs w:val="36"/>
        </w:rPr>
      </w:pPr>
      <w:r>
        <w:rPr>
          <w:rFonts w:hint="eastAsia" w:ascii="楷体" w:hAnsi="楷体" w:eastAsia="楷体" w:cs="楷体"/>
          <w:sz w:val="36"/>
          <w:szCs w:val="36"/>
        </w:rPr>
        <w:t>（征求意见稿）</w:t>
      </w:r>
    </w:p>
    <w:p>
      <w:pPr>
        <w:spacing w:line="560" w:lineRule="exact"/>
        <w:jc w:val="center"/>
        <w:rPr>
          <w:rFonts w:ascii="楷体" w:hAnsi="楷体" w:eastAsia="楷体" w:cs="楷体"/>
          <w:sz w:val="36"/>
          <w:szCs w:val="36"/>
        </w:rPr>
      </w:pPr>
    </w:p>
    <w:p>
      <w:pPr>
        <w:spacing w:line="620" w:lineRule="exact"/>
        <w:ind w:right="210" w:rightChars="100" w:firstLine="720" w:firstLineChars="200"/>
        <w:jc w:val="left"/>
        <w:outlineLvl w:val="2"/>
        <w:rPr>
          <w:rFonts w:ascii="仿宋_GB2312" w:hAnsi="仿宋" w:eastAsia="仿宋_GB2312" w:cs="仿宋"/>
          <w:bCs/>
          <w:color w:val="000000"/>
          <w:sz w:val="36"/>
          <w:szCs w:val="36"/>
        </w:rPr>
      </w:pPr>
      <w:r>
        <w:rPr>
          <w:rFonts w:hint="eastAsia" w:ascii="仿宋_GB2312" w:hAnsi="仿宋" w:eastAsia="仿宋_GB2312" w:cs="仿宋"/>
          <w:bCs/>
          <w:color w:val="000000"/>
          <w:sz w:val="36"/>
          <w:szCs w:val="36"/>
        </w:rPr>
        <w:t>山东是中国黄金第一大省，矿产资源丰富，开采历史</w:t>
      </w:r>
      <w:r>
        <w:rPr>
          <w:rFonts w:hint="eastAsia" w:ascii="仿宋_GB2312" w:hAnsi="仿宋" w:eastAsia="仿宋_GB2312" w:cs="仿宋"/>
          <w:color w:val="000000"/>
          <w:sz w:val="36"/>
          <w:szCs w:val="36"/>
        </w:rPr>
        <w:t>悠久，冶炼技术水平国内外领先，黄金产量持续稳居国内第一。但多年以来，我省黄金产业依然存在行业秩序不够规范、安全生产存有隐患、产业结构不尽合理、产业链上下游发展不均衡等诸多问题。为深入贯彻落实省委、省政府决策部署，加快我省</w:t>
      </w:r>
      <w:r>
        <w:rPr>
          <w:rFonts w:hint="eastAsia" w:ascii="仿宋_GB2312" w:hAnsi="仿宋" w:eastAsia="仿宋_GB2312" w:cs="仿宋"/>
          <w:bCs/>
          <w:color w:val="000000"/>
          <w:sz w:val="36"/>
          <w:szCs w:val="36"/>
        </w:rPr>
        <w:t>黄金产业转型升级、实现高质量发展，现提出如下意见。</w:t>
      </w:r>
    </w:p>
    <w:p>
      <w:pPr>
        <w:spacing w:line="620" w:lineRule="exact"/>
        <w:ind w:firstLine="720" w:firstLineChars="200"/>
        <w:rPr>
          <w:rFonts w:ascii="黑体" w:hAnsi="黑体" w:eastAsia="黑体" w:cs="仿宋_GB2312"/>
          <w:sz w:val="36"/>
          <w:szCs w:val="36"/>
        </w:rPr>
      </w:pPr>
      <w:r>
        <w:rPr>
          <w:rFonts w:hint="eastAsia" w:ascii="黑体" w:hAnsi="黑体" w:eastAsia="黑体" w:cs="黑体"/>
          <w:color w:val="000000"/>
          <w:sz w:val="36"/>
          <w:szCs w:val="36"/>
        </w:rPr>
        <w:t>一、</w:t>
      </w:r>
      <w:r>
        <w:rPr>
          <w:rFonts w:hint="eastAsia" w:ascii="黑体" w:hAnsi="黑体" w:eastAsia="黑体" w:cs="仿宋_GB2312"/>
          <w:sz w:val="36"/>
          <w:szCs w:val="36"/>
        </w:rPr>
        <w:t>总体要求</w:t>
      </w:r>
    </w:p>
    <w:p>
      <w:pPr>
        <w:spacing w:line="620" w:lineRule="exact"/>
        <w:ind w:firstLine="720" w:firstLineChars="200"/>
        <w:rPr>
          <w:rFonts w:ascii="楷体" w:hAnsi="楷体" w:eastAsia="楷体" w:cs="楷体"/>
          <w:sz w:val="36"/>
          <w:szCs w:val="36"/>
        </w:rPr>
      </w:pPr>
      <w:r>
        <w:rPr>
          <w:rFonts w:hint="eastAsia" w:ascii="楷体" w:hAnsi="楷体" w:eastAsia="楷体" w:cs="楷体"/>
          <w:sz w:val="36"/>
          <w:szCs w:val="36"/>
        </w:rPr>
        <w:t>（一）指导思想</w:t>
      </w:r>
    </w:p>
    <w:p>
      <w:pPr>
        <w:spacing w:line="620" w:lineRule="exact"/>
        <w:ind w:firstLine="720" w:firstLineChars="200"/>
        <w:rPr>
          <w:rFonts w:ascii="仿宋_GB2312" w:hAnsi="仿宋" w:eastAsia="仿宋_GB2312" w:cs="仿宋"/>
          <w:color w:val="000000"/>
          <w:sz w:val="36"/>
          <w:szCs w:val="36"/>
        </w:rPr>
      </w:pPr>
      <w:r>
        <w:rPr>
          <w:rFonts w:hint="eastAsia" w:ascii="仿宋_GB2312" w:hAnsi="仿宋" w:eastAsia="仿宋_GB2312" w:cs="仿宋"/>
          <w:color w:val="000000"/>
          <w:sz w:val="36"/>
          <w:szCs w:val="36"/>
        </w:rPr>
        <w:t>以习近平新时代中国特色社会主义思想为指导，深入贯彻党的十九大和十九届二中、三中、四中、五中全会精神，按照省委、省政府决策部署,牢固树立新发展理念，坚持稳中求进工作总基调，以推动高质量发展为主题，以深化供给侧结构性改革为主线，以改革创新为根本动力，以优化布局、结构调整、技术创新为突破口，以区域协同发展为目标，统筹黄金产业发展和安全，推动产业发展集群集聚、企业经营规范集约、产业链条拓展延伸，促进产业生态更加优化，加快构建安全、绿色、高质量发展的现代化黄金产业体系。</w:t>
      </w:r>
    </w:p>
    <w:p>
      <w:pPr>
        <w:spacing w:line="620" w:lineRule="exact"/>
        <w:ind w:right="280" w:firstLine="720" w:firstLineChars="200"/>
        <w:rPr>
          <w:rFonts w:ascii="楷体" w:hAnsi="楷体" w:eastAsia="楷体" w:cs="楷体"/>
          <w:color w:val="000000"/>
          <w:sz w:val="36"/>
          <w:szCs w:val="36"/>
        </w:rPr>
      </w:pPr>
      <w:r>
        <w:rPr>
          <w:rFonts w:hint="eastAsia" w:ascii="楷体" w:hAnsi="楷体" w:eastAsia="楷体" w:cs="楷体"/>
          <w:color w:val="000000"/>
          <w:sz w:val="36"/>
          <w:szCs w:val="36"/>
        </w:rPr>
        <w:t>（二）基本原则</w:t>
      </w:r>
    </w:p>
    <w:p>
      <w:pPr>
        <w:spacing w:line="620" w:lineRule="exact"/>
        <w:ind w:right="280" w:firstLine="723" w:firstLineChars="200"/>
        <w:rPr>
          <w:rFonts w:ascii="仿宋_GB2312" w:hAnsi="仿宋" w:eastAsia="仿宋_GB2312" w:cs="仿宋"/>
          <w:color w:val="000000"/>
          <w:sz w:val="36"/>
          <w:szCs w:val="36"/>
        </w:rPr>
      </w:pPr>
      <w:r>
        <w:rPr>
          <w:rFonts w:hint="eastAsia" w:ascii="仿宋_GB2312" w:hAnsi="仿宋" w:eastAsia="仿宋_GB2312" w:cs="仿宋"/>
          <w:b/>
          <w:bCs/>
          <w:color w:val="000000"/>
          <w:sz w:val="36"/>
          <w:szCs w:val="36"/>
        </w:rPr>
        <w:t>1</w:t>
      </w:r>
      <w:r>
        <w:rPr>
          <w:rFonts w:ascii="仿宋_GB2312" w:hAnsi="仿宋" w:eastAsia="仿宋_GB2312" w:cs="仿宋"/>
          <w:b/>
          <w:bCs/>
          <w:color w:val="000000"/>
          <w:sz w:val="36"/>
          <w:szCs w:val="36"/>
        </w:rPr>
        <w:t>.坚持规模化发展。</w:t>
      </w:r>
      <w:r>
        <w:rPr>
          <w:rFonts w:hint="eastAsia" w:ascii="仿宋_GB2312" w:hAnsi="仿宋" w:eastAsia="仿宋_GB2312" w:cs="仿宋"/>
          <w:color w:val="000000"/>
          <w:sz w:val="36"/>
          <w:szCs w:val="36"/>
        </w:rPr>
        <w:t>推进企业兼并重组，支持企业横向联合，提高产业集中度；提升矿产资源利用水平和企业经营盈利能力，加强质量、效益和品牌建设，打造国内国际一流黄金企业和品牌，培育国际化黄金集团。</w:t>
      </w:r>
    </w:p>
    <w:p>
      <w:pPr>
        <w:spacing w:line="620" w:lineRule="exact"/>
        <w:ind w:right="280" w:firstLine="723" w:firstLineChars="200"/>
        <w:rPr>
          <w:rFonts w:ascii="仿宋_GB2312" w:hAnsi="仿宋" w:eastAsia="仿宋_GB2312" w:cs="仿宋"/>
          <w:sz w:val="36"/>
          <w:szCs w:val="36"/>
        </w:rPr>
      </w:pPr>
      <w:r>
        <w:rPr>
          <w:rFonts w:hint="eastAsia" w:ascii="仿宋_GB2312" w:hAnsi="仿宋" w:eastAsia="仿宋_GB2312" w:cs="仿宋"/>
          <w:b/>
          <w:bCs/>
          <w:color w:val="000000"/>
          <w:sz w:val="36"/>
          <w:szCs w:val="36"/>
        </w:rPr>
        <w:t>2.坚持产业链式发展。</w:t>
      </w:r>
      <w:r>
        <w:rPr>
          <w:rFonts w:hint="eastAsia" w:ascii="仿宋_GB2312" w:hAnsi="仿宋" w:eastAsia="仿宋_GB2312" w:cs="仿宋"/>
          <w:color w:val="000000"/>
          <w:sz w:val="36"/>
          <w:szCs w:val="36"/>
        </w:rPr>
        <w:t>不断丰富延伸黄金产业链，实现产业链条互促互补，针对我省黄金产业链存在的空白和薄弱环节，</w:t>
      </w:r>
      <w:r>
        <w:rPr>
          <w:rFonts w:hint="eastAsia" w:ascii="仿宋_GB2312" w:hAnsi="仿宋" w:eastAsia="仿宋_GB2312" w:cs="仿宋"/>
          <w:sz w:val="36"/>
          <w:szCs w:val="36"/>
        </w:rPr>
        <w:t>引导黄金行业向产业链下游延伸发展</w:t>
      </w:r>
      <w:r>
        <w:rPr>
          <w:rFonts w:hint="eastAsia" w:ascii="仿宋_GB2312" w:hAnsi="仿宋" w:eastAsia="仿宋_GB2312" w:cs="仿宋"/>
          <w:color w:val="000000"/>
          <w:sz w:val="36"/>
          <w:szCs w:val="36"/>
        </w:rPr>
        <w:t>，对链上的不同环节分别</w:t>
      </w:r>
      <w:r>
        <w:rPr>
          <w:rFonts w:hint="eastAsia" w:ascii="仿宋_GB2312" w:hAnsi="仿宋" w:eastAsia="仿宋_GB2312" w:cs="仿宋"/>
          <w:sz w:val="36"/>
          <w:szCs w:val="36"/>
        </w:rPr>
        <w:t>实施固链、延链、补链、强链，推动产业链协同发展。</w:t>
      </w:r>
    </w:p>
    <w:p>
      <w:pPr>
        <w:spacing w:line="620" w:lineRule="exact"/>
        <w:ind w:right="280" w:firstLine="723" w:firstLineChars="200"/>
        <w:rPr>
          <w:rFonts w:ascii="仿宋_GB2312" w:hAnsi="仿宋" w:eastAsia="仿宋_GB2312" w:cs="仿宋"/>
          <w:sz w:val="36"/>
          <w:szCs w:val="36"/>
        </w:rPr>
      </w:pPr>
      <w:r>
        <w:rPr>
          <w:rFonts w:hint="eastAsia" w:ascii="仿宋_GB2312" w:hAnsi="仿宋" w:eastAsia="仿宋_GB2312" w:cs="仿宋"/>
          <w:b/>
          <w:bCs/>
          <w:color w:val="000000"/>
          <w:sz w:val="36"/>
          <w:szCs w:val="36"/>
        </w:rPr>
        <w:t>3.坚持融合发展。</w:t>
      </w:r>
      <w:r>
        <w:rPr>
          <w:rFonts w:hint="eastAsia" w:ascii="仿宋_GB2312" w:hAnsi="仿宋" w:eastAsia="仿宋_GB2312" w:cs="仿宋"/>
          <w:color w:val="000000"/>
          <w:sz w:val="36"/>
          <w:szCs w:val="36"/>
        </w:rPr>
        <w:t>加快推动新一代信息技术与黄金产业技术融合发展，把智能制造作为深度融合的主攻方向，</w:t>
      </w:r>
      <w:r>
        <w:rPr>
          <w:rFonts w:hint="eastAsia" w:ascii="仿宋_GB2312" w:hAnsi="仿宋" w:eastAsia="仿宋_GB2312" w:cs="仿宋"/>
          <w:sz w:val="36"/>
          <w:szCs w:val="36"/>
        </w:rPr>
        <w:t>实现采购物流、生产控制及销售服务智能化、数字化转型。</w:t>
      </w:r>
    </w:p>
    <w:p>
      <w:pPr>
        <w:spacing w:line="620" w:lineRule="exact"/>
        <w:ind w:right="280" w:firstLine="723" w:firstLineChars="200"/>
        <w:rPr>
          <w:rFonts w:ascii="仿宋_GB2312" w:hAnsi="仿宋_GB2312" w:eastAsia="仿宋_GB2312" w:cs="仿宋_GB2312"/>
          <w:sz w:val="36"/>
          <w:szCs w:val="36"/>
        </w:rPr>
      </w:pPr>
      <w:r>
        <w:rPr>
          <w:rFonts w:hint="eastAsia" w:ascii="仿宋_GB2312" w:hAnsi="仿宋" w:eastAsia="仿宋_GB2312" w:cs="仿宋"/>
          <w:b/>
          <w:bCs/>
          <w:color w:val="000000"/>
          <w:sz w:val="36"/>
          <w:szCs w:val="36"/>
        </w:rPr>
        <w:t>4.</w:t>
      </w:r>
      <w:r>
        <w:rPr>
          <w:rFonts w:hint="eastAsia" w:ascii="仿宋_GB2312" w:hAnsi="仿宋" w:eastAsia="仿宋_GB2312" w:cs="仿宋"/>
          <w:b/>
          <w:bCs/>
          <w:sz w:val="36"/>
          <w:szCs w:val="36"/>
        </w:rPr>
        <w:t>坚持创新驱动发展。</w:t>
      </w:r>
      <w:r>
        <w:rPr>
          <w:rFonts w:hint="eastAsia" w:ascii="仿宋_GB2312" w:hAnsi="仿宋_GB2312" w:eastAsia="仿宋_GB2312" w:cs="仿宋_GB2312"/>
          <w:sz w:val="36"/>
          <w:szCs w:val="36"/>
        </w:rPr>
        <w:t>围绕黄金产业发展重点和难点，黄金冶炼和精深加工、资源高效利用、节能减排、安全生产、环保治理等领域，建立以企业为主体、市场为导向、产学研用相结合的技术创新体系，增强企业应用技术研发与创新能力。</w:t>
      </w:r>
    </w:p>
    <w:p>
      <w:pPr>
        <w:spacing w:line="620" w:lineRule="exact"/>
        <w:ind w:right="280" w:firstLine="723" w:firstLineChars="200"/>
        <w:rPr>
          <w:rFonts w:ascii="仿宋_GB2312" w:hAnsi="仿宋" w:eastAsia="仿宋_GB2312" w:cs="仿宋"/>
          <w:color w:val="000000"/>
          <w:sz w:val="36"/>
          <w:szCs w:val="36"/>
        </w:rPr>
      </w:pPr>
      <w:r>
        <w:rPr>
          <w:rFonts w:hint="eastAsia" w:ascii="仿宋_GB2312" w:hAnsi="仿宋" w:eastAsia="仿宋_GB2312" w:cs="仿宋"/>
          <w:b/>
          <w:bCs/>
          <w:color w:val="000000"/>
          <w:sz w:val="36"/>
          <w:szCs w:val="36"/>
        </w:rPr>
        <w:t>5.坚持绿色化发展。</w:t>
      </w:r>
      <w:r>
        <w:rPr>
          <w:rFonts w:hint="eastAsia" w:ascii="仿宋_GB2312" w:hAnsi="仿宋" w:eastAsia="仿宋_GB2312" w:cs="仿宋"/>
          <w:color w:val="000000"/>
          <w:sz w:val="36"/>
          <w:szCs w:val="36"/>
        </w:rPr>
        <w:t>牢固</w:t>
      </w:r>
      <w:r>
        <w:rPr>
          <w:rFonts w:hint="eastAsia" w:ascii="仿宋_GB2312" w:hAnsi="仿宋_GB2312" w:eastAsia="仿宋_GB2312" w:cs="仿宋_GB2312"/>
          <w:sz w:val="36"/>
          <w:szCs w:val="36"/>
        </w:rPr>
        <w:t>树立“绿水青山就是金山银山”的发展理念，不断完善安全环保管理体系，全面推进绿色工厂建设，积</w:t>
      </w:r>
      <w:r>
        <w:rPr>
          <w:rFonts w:hint="eastAsia" w:ascii="仿宋_GB2312" w:hAnsi="仿宋" w:eastAsia="仿宋_GB2312" w:cs="仿宋"/>
          <w:color w:val="000000"/>
          <w:sz w:val="36"/>
          <w:szCs w:val="36"/>
        </w:rPr>
        <w:t>极研发推广新技术、新装备、新工艺，不断提升绿色发展水平。</w:t>
      </w:r>
    </w:p>
    <w:p>
      <w:pPr>
        <w:spacing w:line="620" w:lineRule="exact"/>
        <w:ind w:firstLine="720" w:firstLineChars="200"/>
        <w:rPr>
          <w:rFonts w:ascii="楷体" w:hAnsi="楷体" w:eastAsia="楷体" w:cs="楷体"/>
          <w:sz w:val="36"/>
          <w:szCs w:val="36"/>
        </w:rPr>
      </w:pPr>
      <w:bookmarkStart w:id="0" w:name="_Toc8722"/>
      <w:r>
        <w:rPr>
          <w:rFonts w:hint="eastAsia" w:ascii="楷体" w:hAnsi="楷体" w:eastAsia="楷体" w:cs="楷体"/>
          <w:sz w:val="36"/>
          <w:szCs w:val="36"/>
        </w:rPr>
        <w:t>（三）发展目标</w:t>
      </w:r>
      <w:bookmarkEnd w:id="0"/>
      <w:bookmarkStart w:id="1" w:name="_Toc8449"/>
    </w:p>
    <w:p>
      <w:pPr>
        <w:spacing w:line="620" w:lineRule="exact"/>
        <w:ind w:right="280" w:firstLine="720" w:firstLineChars="200"/>
        <w:rPr>
          <w:rFonts w:ascii="仿宋_GB2312" w:hAnsi="Calibri" w:eastAsia="仿宋_GB2312" w:cs="Times New Roman"/>
          <w:sz w:val="36"/>
          <w:szCs w:val="36"/>
        </w:rPr>
      </w:pPr>
      <w:r>
        <w:rPr>
          <w:rFonts w:hint="eastAsia" w:ascii="仿宋_GB2312" w:hAnsi="仿宋" w:eastAsia="仿宋_GB2312" w:cs="仿宋"/>
          <w:color w:val="000000"/>
          <w:sz w:val="36"/>
          <w:szCs w:val="36"/>
        </w:rPr>
        <w:t>到2025年末，以大型龙头黄金企业作为主体，通过重组</w:t>
      </w:r>
      <w:r>
        <w:rPr>
          <w:rFonts w:hint="eastAsia" w:ascii="仿宋_GB2312" w:hAnsi="仿宋" w:eastAsia="仿宋_GB2312" w:cs="仿宋"/>
          <w:color w:val="000000"/>
          <w:sz w:val="36"/>
          <w:szCs w:val="36"/>
          <w:lang w:eastAsia="zh-CN"/>
        </w:rPr>
        <w:t>整</w:t>
      </w:r>
      <w:r>
        <w:rPr>
          <w:rFonts w:hint="eastAsia" w:ascii="仿宋_GB2312" w:hAnsi="仿宋" w:eastAsia="仿宋_GB2312" w:cs="仿宋"/>
          <w:color w:val="000000"/>
          <w:sz w:val="36"/>
          <w:szCs w:val="36"/>
        </w:rPr>
        <w:t>合实现产业集中度进一步提高；产业布局和产品结构更加合理；行业秩序有序规范；安全生产水平明显提升；高端化、智能化、绿色化发展成果显著；</w:t>
      </w:r>
      <w:r>
        <w:rPr>
          <w:rFonts w:hint="eastAsia" w:ascii="仿宋_GB2312" w:hAnsi="仿宋" w:eastAsia="仿宋_GB2312" w:cs="仿宋"/>
          <w:sz w:val="36"/>
          <w:szCs w:val="36"/>
        </w:rPr>
        <w:t>大、中型黄金企业集团黄金年产量</w:t>
      </w:r>
      <w:r>
        <w:rPr>
          <w:rFonts w:hint="eastAsia" w:ascii="仿宋_GB2312" w:hAnsi="仿宋" w:eastAsia="仿宋_GB2312" w:cs="仿宋"/>
          <w:color w:val="000000"/>
          <w:sz w:val="36"/>
          <w:szCs w:val="36"/>
        </w:rPr>
        <w:t>占全省总产量的95%以上；形成以黄金为主，多金属、多元化、上下游一体化发展的新格局。</w:t>
      </w:r>
    </w:p>
    <w:bookmarkEnd w:id="1"/>
    <w:p>
      <w:pPr>
        <w:spacing w:line="620" w:lineRule="exact"/>
        <w:ind w:right="280" w:firstLine="720" w:firstLineChars="200"/>
        <w:rPr>
          <w:rFonts w:ascii="黑体" w:hAnsi="黑体" w:eastAsia="黑体" w:cs="仿宋"/>
          <w:color w:val="000000"/>
          <w:sz w:val="36"/>
          <w:szCs w:val="36"/>
        </w:rPr>
      </w:pPr>
      <w:r>
        <w:rPr>
          <w:rFonts w:hint="eastAsia" w:ascii="黑体" w:hAnsi="黑体" w:eastAsia="黑体" w:cs="仿宋"/>
          <w:color w:val="000000"/>
          <w:sz w:val="36"/>
          <w:szCs w:val="36"/>
        </w:rPr>
        <w:t>二</w:t>
      </w:r>
      <w:r>
        <w:rPr>
          <w:rFonts w:ascii="黑体" w:hAnsi="黑体" w:eastAsia="黑体" w:cs="仿宋"/>
          <w:color w:val="000000"/>
          <w:sz w:val="36"/>
          <w:szCs w:val="36"/>
        </w:rPr>
        <w:t>、</w:t>
      </w:r>
      <w:r>
        <w:rPr>
          <w:rFonts w:hint="eastAsia" w:ascii="黑体" w:hAnsi="黑体" w:eastAsia="黑体" w:cs="仿宋"/>
          <w:color w:val="000000"/>
          <w:sz w:val="36"/>
          <w:szCs w:val="36"/>
        </w:rPr>
        <w:t>重点</w:t>
      </w:r>
      <w:r>
        <w:rPr>
          <w:rFonts w:ascii="黑体" w:hAnsi="黑体" w:eastAsia="黑体" w:cs="仿宋"/>
          <w:color w:val="000000"/>
          <w:sz w:val="36"/>
          <w:szCs w:val="36"/>
        </w:rPr>
        <w:t>任务</w:t>
      </w:r>
    </w:p>
    <w:p>
      <w:pPr>
        <w:spacing w:line="620" w:lineRule="exact"/>
        <w:ind w:firstLine="720" w:firstLineChars="200"/>
        <w:rPr>
          <w:rFonts w:ascii="楷体" w:hAnsi="楷体" w:eastAsia="楷体" w:cs="仿宋_GB2312"/>
          <w:sz w:val="36"/>
          <w:szCs w:val="36"/>
        </w:rPr>
      </w:pPr>
      <w:r>
        <w:rPr>
          <w:rFonts w:ascii="楷体" w:hAnsi="楷体" w:eastAsia="楷体" w:cs="仿宋_GB2312"/>
          <w:sz w:val="36"/>
          <w:szCs w:val="36"/>
        </w:rPr>
        <w:t>（一</w:t>
      </w:r>
      <w:r>
        <w:rPr>
          <w:rFonts w:hint="eastAsia" w:ascii="楷体" w:hAnsi="楷体" w:eastAsia="楷体" w:cs="仿宋_GB2312"/>
          <w:sz w:val="36"/>
          <w:szCs w:val="36"/>
        </w:rPr>
        <w:t>）实施“四大战略”。</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1.龙头企业带动战略。</w:t>
      </w:r>
      <w:r>
        <w:rPr>
          <w:rFonts w:hint="eastAsia" w:ascii="仿宋_GB2312" w:hAnsi="仿宋_GB2312" w:eastAsia="仿宋_GB2312" w:cs="仿宋_GB2312"/>
          <w:sz w:val="36"/>
          <w:szCs w:val="36"/>
        </w:rPr>
        <w:t>进一步优化区域化规划布局，打破地域界限，发展跨区域企业集团，充分发挥山东黄金集团、招金集团、中矿集团、</w:t>
      </w:r>
      <w:r>
        <w:rPr>
          <w:rFonts w:hint="eastAsia" w:ascii="仿宋_GB2312" w:hAnsi="仿宋" w:eastAsia="仿宋_GB2312" w:cs="仿宋"/>
          <w:color w:val="000000"/>
          <w:sz w:val="36"/>
          <w:szCs w:val="36"/>
        </w:rPr>
        <w:t>山东恒邦冶炼股份</w:t>
      </w:r>
      <w:r>
        <w:rPr>
          <w:rFonts w:hint="eastAsia" w:ascii="仿宋_GB2312" w:hAnsi="仿宋_GB2312" w:eastAsia="仿宋_GB2312" w:cs="仿宋_GB2312"/>
          <w:sz w:val="36"/>
          <w:szCs w:val="36"/>
        </w:rPr>
        <w:t>等大型黄金企业集团的龙头带动作用，通过资产重组、强强联合等措施，培育若干家跨地区、跨所有制、经营规模大、产品多样化、抗风险能力强、具有核心竞争力和较强国际影响力的黄金企业集团。</w:t>
      </w:r>
      <w:r>
        <w:rPr>
          <w:rFonts w:hint="eastAsia" w:ascii="楷体" w:hAnsi="楷体" w:eastAsia="楷体" w:cs="楷体"/>
          <w:sz w:val="36"/>
          <w:szCs w:val="36"/>
        </w:rPr>
        <w:t>（省发展改革委、省工业和信息化厅、省自然资源厅、省国资委按职责分工负责）</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w:t>
      </w:r>
      <w:r>
        <w:rPr>
          <w:rFonts w:ascii="仿宋_GB2312" w:hAnsi="仿宋_GB2312" w:eastAsia="仿宋_GB2312" w:cs="仿宋_GB2312"/>
          <w:b/>
          <w:bCs/>
          <w:sz w:val="36"/>
          <w:szCs w:val="36"/>
        </w:rPr>
        <w:t>.</w:t>
      </w:r>
      <w:r>
        <w:rPr>
          <w:rFonts w:hint="eastAsia" w:ascii="仿宋_GB2312" w:hAnsi="仿宋_GB2312" w:eastAsia="仿宋_GB2312" w:cs="仿宋_GB2312"/>
          <w:b/>
          <w:bCs/>
          <w:sz w:val="36"/>
          <w:szCs w:val="36"/>
        </w:rPr>
        <w:t>品牌培育战略。</w:t>
      </w:r>
      <w:r>
        <w:rPr>
          <w:rFonts w:hint="eastAsia" w:ascii="仿宋_GB2312" w:hAnsi="仿宋_GB2312" w:eastAsia="仿宋_GB2312" w:cs="仿宋_GB2312"/>
          <w:sz w:val="36"/>
          <w:szCs w:val="36"/>
        </w:rPr>
        <w:t>支持龙头骨干企业通过对黄金产品的技术和设计创新，形成具有知识产权的品牌产品，不断提升品牌质量、形象和价值，引导企业推进品牌的多元化、系列化、差异化，创建高端化、高品质的世界级品牌。继续发挥招远“中国金都”品牌效应,打造“黄金首饰山东造”品牌。</w:t>
      </w:r>
      <w:r>
        <w:rPr>
          <w:rFonts w:hint="eastAsia" w:ascii="楷体" w:hAnsi="楷体" w:eastAsia="楷体" w:cs="楷体"/>
          <w:sz w:val="36"/>
          <w:szCs w:val="36"/>
        </w:rPr>
        <w:t>（省市场监管局、省工业和信息化厅按职责分工负责）</w:t>
      </w:r>
    </w:p>
    <w:p>
      <w:pPr>
        <w:spacing w:line="620" w:lineRule="exact"/>
        <w:ind w:firstLine="723" w:firstLineChars="200"/>
        <w:rPr>
          <w:rFonts w:ascii="仿宋_GB2312" w:hAnsi="仿宋_GB2312" w:eastAsia="仿宋_GB2312" w:cs="仿宋_GB2312"/>
          <w:b/>
          <w:bCs/>
          <w:color w:val="FF0000"/>
          <w:sz w:val="36"/>
          <w:szCs w:val="36"/>
        </w:rPr>
      </w:pPr>
      <w:r>
        <w:rPr>
          <w:rFonts w:hint="eastAsia" w:ascii="仿宋_GB2312" w:hAnsi="仿宋_GB2312" w:eastAsia="仿宋_GB2312" w:cs="仿宋_GB2312"/>
          <w:b/>
          <w:bCs/>
          <w:sz w:val="36"/>
          <w:szCs w:val="36"/>
        </w:rPr>
        <w:t>3.市场开拓战略。</w:t>
      </w:r>
      <w:r>
        <w:rPr>
          <w:rFonts w:hint="eastAsia" w:ascii="仿宋_GB2312" w:hAnsi="仿宋_GB2312" w:eastAsia="仿宋_GB2312" w:cs="仿宋_GB2312"/>
          <w:sz w:val="36"/>
          <w:szCs w:val="36"/>
        </w:rPr>
        <w:t>支持首饰加工企业瞄准高端市场，加大研发力度，按照设计在全球、加工在山东、销售在全球的理念，进一步扩大金丝、金盐、高端黄金饰品等的市场占有率。鼓励黄金企业积极参与“一带一路”沿线国家的经贸交流与合作，</w:t>
      </w:r>
      <w:r>
        <w:rPr>
          <w:rFonts w:hint="eastAsia" w:ascii="仿宋_GB2312" w:hAnsi="仿宋_GB2312" w:eastAsia="仿宋_GB2312" w:cs="仿宋_GB2312"/>
          <w:sz w:val="36"/>
          <w:szCs w:val="36"/>
          <w:lang w:eastAsia="zh-CN"/>
        </w:rPr>
        <w:t>引导企业走出去。</w:t>
      </w:r>
      <w:r>
        <w:rPr>
          <w:rFonts w:hint="eastAsia" w:ascii="楷体" w:hAnsi="楷体" w:eastAsia="楷体" w:cs="楷体"/>
          <w:sz w:val="36"/>
          <w:szCs w:val="36"/>
        </w:rPr>
        <w:t>（</w:t>
      </w:r>
      <w:r>
        <w:rPr>
          <w:rFonts w:hint="eastAsia" w:ascii="楷体" w:hAnsi="楷体" w:eastAsia="楷体" w:cs="楷体"/>
          <w:sz w:val="36"/>
          <w:szCs w:val="36"/>
        </w:rPr>
        <w:t>省工业和信息化厅</w:t>
      </w:r>
      <w:r>
        <w:rPr>
          <w:rFonts w:hint="eastAsia" w:ascii="楷体" w:hAnsi="楷体" w:eastAsia="楷体" w:cs="楷体"/>
          <w:sz w:val="36"/>
          <w:szCs w:val="36"/>
          <w:lang w:eastAsia="zh-CN"/>
        </w:rPr>
        <w:t>、</w:t>
      </w:r>
      <w:r>
        <w:rPr>
          <w:rFonts w:hint="eastAsia" w:ascii="楷体" w:hAnsi="楷体" w:eastAsia="楷体" w:cs="楷体"/>
          <w:sz w:val="36"/>
          <w:szCs w:val="36"/>
          <w:lang w:eastAsia="zh-CN"/>
        </w:rPr>
        <w:t>省发展改革委、</w:t>
      </w:r>
      <w:bookmarkStart w:id="3" w:name="_GoBack"/>
      <w:bookmarkEnd w:id="3"/>
      <w:r>
        <w:rPr>
          <w:rFonts w:hint="eastAsia" w:ascii="楷体" w:hAnsi="楷体" w:eastAsia="楷体" w:cs="楷体"/>
          <w:sz w:val="36"/>
          <w:szCs w:val="36"/>
        </w:rPr>
        <w:t>省商务厅按职责分工负责）</w:t>
      </w:r>
    </w:p>
    <w:p>
      <w:pPr>
        <w:spacing w:line="620" w:lineRule="exact"/>
        <w:ind w:firstLine="723" w:firstLineChars="200"/>
        <w:rPr>
          <w:rFonts w:ascii="楷体" w:hAnsi="楷体" w:eastAsia="楷体" w:cs="楷体"/>
          <w:sz w:val="36"/>
          <w:szCs w:val="36"/>
        </w:rPr>
      </w:pPr>
      <w:r>
        <w:rPr>
          <w:rFonts w:hint="eastAsia" w:ascii="仿宋_GB2312" w:hAnsi="仿宋_GB2312" w:eastAsia="仿宋_GB2312" w:cs="仿宋_GB2312"/>
          <w:b/>
          <w:bCs/>
          <w:sz w:val="36"/>
          <w:szCs w:val="36"/>
        </w:rPr>
        <w:t>4</w:t>
      </w:r>
      <w:r>
        <w:rPr>
          <w:rFonts w:ascii="仿宋_GB2312" w:hAnsi="仿宋_GB2312" w:eastAsia="仿宋_GB2312" w:cs="仿宋_GB2312"/>
          <w:b/>
          <w:bCs/>
          <w:sz w:val="36"/>
          <w:szCs w:val="36"/>
        </w:rPr>
        <w:t>.</w:t>
      </w:r>
      <w:r>
        <w:rPr>
          <w:rFonts w:hint="eastAsia" w:ascii="仿宋_GB2312" w:hAnsi="仿宋_GB2312" w:eastAsia="仿宋_GB2312" w:cs="仿宋_GB2312"/>
          <w:b/>
          <w:bCs/>
          <w:sz w:val="36"/>
          <w:szCs w:val="36"/>
        </w:rPr>
        <w:t>国际化发展战略。</w:t>
      </w:r>
      <w:r>
        <w:rPr>
          <w:rFonts w:hint="eastAsia" w:ascii="仿宋_GB2312" w:hAnsi="仿宋_GB2312" w:eastAsia="仿宋_GB2312" w:cs="仿宋_GB2312"/>
          <w:sz w:val="36"/>
          <w:szCs w:val="36"/>
        </w:rPr>
        <w:t>建立完善的海外信息资源共享机制和风险预警机制，整合境外优良黄金资产，拓宽资源合作开发的渠道和领域，通过国际合作，引进国外先进管理、技术以及属地国际化人才，提升国际合作的水平和层次，推动黄金产业国际化布局，引导企业提高国际竞争力。</w:t>
      </w:r>
      <w:r>
        <w:rPr>
          <w:rFonts w:hint="eastAsia" w:ascii="楷体" w:hAnsi="楷体" w:eastAsia="楷体" w:cs="楷体"/>
          <w:sz w:val="36"/>
          <w:szCs w:val="36"/>
        </w:rPr>
        <w:t>（省商务厅、省发展改革委、省国资委按职责分工负责）</w:t>
      </w:r>
    </w:p>
    <w:p>
      <w:pPr>
        <w:spacing w:line="620" w:lineRule="exact"/>
        <w:ind w:firstLine="720" w:firstLineChars="200"/>
        <w:rPr>
          <w:rFonts w:ascii="楷体" w:hAnsi="楷体" w:eastAsia="楷体" w:cs="仿宋_GB2312"/>
          <w:sz w:val="36"/>
          <w:szCs w:val="36"/>
        </w:rPr>
      </w:pPr>
      <w:r>
        <w:rPr>
          <w:rFonts w:ascii="楷体" w:hAnsi="楷体" w:eastAsia="楷体" w:cs="仿宋_GB2312"/>
          <w:sz w:val="36"/>
          <w:szCs w:val="36"/>
        </w:rPr>
        <w:t>（二）</w:t>
      </w:r>
      <w:r>
        <w:rPr>
          <w:rFonts w:hint="eastAsia" w:ascii="楷体" w:hAnsi="楷体" w:eastAsia="楷体" w:cs="仿宋_GB2312"/>
          <w:sz w:val="36"/>
          <w:szCs w:val="36"/>
        </w:rPr>
        <w:t>开展“五项行动”。</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1.关键技术攻关行动。</w:t>
      </w:r>
      <w:r>
        <w:rPr>
          <w:rFonts w:hint="eastAsia" w:ascii="仿宋_GB2312" w:hAnsi="仿宋_GB2312" w:eastAsia="仿宋_GB2312" w:cs="仿宋_GB2312"/>
          <w:sz w:val="36"/>
          <w:szCs w:val="36"/>
        </w:rPr>
        <w:t>坚持发展导向和需求导向，加快建立以企业为主体、市场为导向、产学研用相结合的技术创新体系，增强企业应用技术研发与创新能力。强化共性技术研究平台建设，谋划打造一批创新中心、设计中心、企业技术中心等黄金产业平台，推动企业、科研院所和高校共同开展前沿共性技术攻关，着力突破关键核心技术和共性技术，提高产业核心竞争能力。</w:t>
      </w:r>
      <w:r>
        <w:rPr>
          <w:rFonts w:hint="eastAsia" w:ascii="楷体" w:hAnsi="楷体" w:eastAsia="楷体" w:cs="楷体"/>
          <w:sz w:val="36"/>
          <w:szCs w:val="36"/>
        </w:rPr>
        <w:t>（省科技厅、省发展改革委、省工业和信息化厅按职责分工负责）</w:t>
      </w:r>
    </w:p>
    <w:p>
      <w:pPr>
        <w:spacing w:line="620" w:lineRule="exact"/>
        <w:ind w:firstLine="723" w:firstLineChars="200"/>
        <w:rPr>
          <w:rFonts w:ascii="楷体" w:hAnsi="楷体" w:eastAsia="楷体" w:cs="楷体"/>
          <w:sz w:val="36"/>
          <w:szCs w:val="36"/>
        </w:rPr>
      </w:pPr>
      <w:r>
        <w:rPr>
          <w:rFonts w:hint="eastAsia" w:ascii="仿宋_GB2312" w:hAnsi="仿宋_GB2312" w:eastAsia="仿宋_GB2312" w:cs="仿宋_GB2312"/>
          <w:b/>
          <w:bCs/>
          <w:sz w:val="36"/>
          <w:szCs w:val="36"/>
        </w:rPr>
        <w:t>2.国产设备高端化行动。</w:t>
      </w:r>
      <w:r>
        <w:rPr>
          <w:rFonts w:hint="eastAsia" w:ascii="仿宋_GB2312" w:hAnsi="仿宋_GB2312" w:eastAsia="仿宋_GB2312" w:cs="仿宋_GB2312"/>
          <w:sz w:val="36"/>
          <w:szCs w:val="36"/>
        </w:rPr>
        <w:t>依托我省黄金装备制造骨干企业，加快提升产品核心竞争力，完善技术和产业供应链，实现关键设备国产替代，改善对进口设备的依赖局面。</w:t>
      </w:r>
      <w:r>
        <w:rPr>
          <w:rFonts w:hint="eastAsia" w:ascii="楷体" w:hAnsi="楷体" w:eastAsia="楷体" w:cs="楷体"/>
          <w:sz w:val="36"/>
          <w:szCs w:val="36"/>
        </w:rPr>
        <w:t>（省工业和信息化厅、省科技厅按职责分工负责）</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3.企业智能化改造行动。</w:t>
      </w:r>
      <w:r>
        <w:rPr>
          <w:rFonts w:hint="eastAsia" w:ascii="仿宋_GB2312" w:hAnsi="仿宋_GB2312" w:eastAsia="仿宋_GB2312" w:cs="仿宋_GB2312"/>
          <w:sz w:val="36"/>
          <w:szCs w:val="36"/>
        </w:rPr>
        <w:t>充分发挥信息化在企业技术进步中的推动作用，鼓励企业加强信息化建设，积极开展生产装备数字化、生产过程智能化、企业管理信息化、环境在线监测监控和无线传感网络化建设，提高生产效率和资源利用率，改善生产作业环境，提升企业安全生产水平。</w:t>
      </w:r>
      <w:r>
        <w:rPr>
          <w:rFonts w:hint="eastAsia" w:ascii="楷体" w:hAnsi="楷体" w:eastAsia="楷体" w:cs="楷体"/>
          <w:sz w:val="36"/>
          <w:szCs w:val="36"/>
        </w:rPr>
        <w:t>（省工业和信息化厅、省生态环境厅、省应急管理厅按职责分工负责）</w:t>
      </w:r>
    </w:p>
    <w:p>
      <w:pPr>
        <w:spacing w:line="620"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4.产业链延伸行动。</w:t>
      </w:r>
      <w:r>
        <w:rPr>
          <w:rFonts w:hint="eastAsia" w:ascii="仿宋_GB2312" w:hAnsi="仿宋_GB2312" w:eastAsia="仿宋_GB2312" w:cs="仿宋_GB2312"/>
          <w:sz w:val="36"/>
          <w:szCs w:val="36"/>
        </w:rPr>
        <w:t>加快转变挖矿卖金和生产粗加工产品的传统模式，</w:t>
      </w:r>
      <w:r>
        <w:rPr>
          <w:rFonts w:hint="eastAsia" w:ascii="仿宋_GB2312" w:hAnsi="仿宋" w:eastAsia="仿宋_GB2312" w:cs="仿宋"/>
          <w:color w:val="000000"/>
          <w:sz w:val="36"/>
          <w:szCs w:val="36"/>
        </w:rPr>
        <w:t>瞄准高端精密仪器设备、电子产品、宇航、化学工业、医学应用等终端用户用金需求，</w:t>
      </w:r>
      <w:r>
        <w:rPr>
          <w:rFonts w:hint="eastAsia" w:ascii="仿宋_GB2312" w:hAnsi="仿宋_GB2312" w:eastAsia="仿宋_GB2312" w:cs="仿宋_GB2312"/>
          <w:sz w:val="36"/>
          <w:szCs w:val="36"/>
        </w:rPr>
        <w:t>大力发展精深、精细加工和市场需求的高附加值产品。跟踪黄金工业应用科技前沿技术，加快推进黄金新材料产业化步伐，拓宽黄金纳米复合材料在化学催化、新能源电池、医用靶向材料、军工及航天材料等领域的应用，大力推广金丝、金盐等产品在高端化工、新一代信息技术、新材料领域的应用，加快推动黄金产业向工业用金领域转型发展。</w:t>
      </w:r>
      <w:r>
        <w:rPr>
          <w:rFonts w:hint="eastAsia" w:ascii="楷体" w:hAnsi="楷体" w:eastAsia="楷体" w:cs="楷体"/>
          <w:sz w:val="36"/>
          <w:szCs w:val="36"/>
        </w:rPr>
        <w:t>（省工业和信息化厅、省科技厅、省发展改革委按职责分工负责）</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5.安全绿色发展行动。</w:t>
      </w:r>
      <w:r>
        <w:rPr>
          <w:rFonts w:hint="eastAsia" w:ascii="仿宋_GB2312" w:hAnsi="仿宋_GB2312" w:eastAsia="仿宋_GB2312" w:cs="仿宋_GB2312"/>
          <w:bCs/>
          <w:sz w:val="36"/>
          <w:szCs w:val="36"/>
        </w:rPr>
        <w:t>创新安全管理机制，实施企业安全生产标准化达标工程，提升黄金生产安全保障能力，全面</w:t>
      </w:r>
      <w:r>
        <w:rPr>
          <w:rFonts w:hint="eastAsia" w:ascii="仿宋_GB2312" w:hAnsi="仿宋_GB2312" w:eastAsia="仿宋_GB2312" w:cs="仿宋_GB2312"/>
          <w:sz w:val="36"/>
          <w:szCs w:val="36"/>
        </w:rPr>
        <w:t>提高黄金生产本质安全水平</w:t>
      </w:r>
      <w:r>
        <w:rPr>
          <w:rFonts w:hint="eastAsia" w:ascii="仿宋_GB2312" w:hAnsi="仿宋_GB2312" w:eastAsia="仿宋_GB2312" w:cs="仿宋_GB2312"/>
          <w:bCs/>
          <w:sz w:val="36"/>
          <w:szCs w:val="36"/>
        </w:rPr>
        <w:t>。加强政策激励，引进社会第三方安全管理服务，通过市场化手段增强我省黄金产业安全管理服务水平。</w:t>
      </w:r>
      <w:r>
        <w:rPr>
          <w:rFonts w:hint="eastAsia" w:ascii="仿宋_GB2312" w:hAnsi="仿宋_GB2312" w:eastAsia="仿宋_GB2312" w:cs="仿宋_GB2312"/>
          <w:sz w:val="36"/>
          <w:szCs w:val="36"/>
        </w:rPr>
        <w:t>坚持节约优先、保护优先、自然恢复的方针，淘汰落后工艺设备，严格控制污染排放，引导企业对矿产固废实施减量化、资源化、无害化处置，有效改善生态环境。</w:t>
      </w:r>
      <w:r>
        <w:rPr>
          <w:rFonts w:hint="eastAsia" w:ascii="楷体" w:hAnsi="楷体" w:eastAsia="楷体" w:cs="楷体"/>
          <w:sz w:val="36"/>
          <w:szCs w:val="36"/>
        </w:rPr>
        <w:t>（省应急管理厅、省生态环境厅、省工业和信息化厅、省自然资源厅按职责分工负责）</w:t>
      </w:r>
    </w:p>
    <w:p>
      <w:pPr>
        <w:spacing w:line="620" w:lineRule="exact"/>
        <w:ind w:firstLine="720" w:firstLineChars="200"/>
        <w:rPr>
          <w:rFonts w:ascii="楷体" w:hAnsi="楷体" w:eastAsia="楷体" w:cs="仿宋_GB2312"/>
          <w:sz w:val="36"/>
          <w:szCs w:val="36"/>
        </w:rPr>
      </w:pPr>
      <w:r>
        <w:rPr>
          <w:rFonts w:hint="eastAsia" w:ascii="楷体" w:hAnsi="楷体" w:eastAsia="楷体" w:cs="仿宋_GB2312"/>
          <w:sz w:val="36"/>
          <w:szCs w:val="36"/>
        </w:rPr>
        <w:t>（三）拓展“两项服务”。</w:t>
      </w:r>
    </w:p>
    <w:p>
      <w:pPr>
        <w:spacing w:line="62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1</w:t>
      </w:r>
      <w:r>
        <w:rPr>
          <w:rFonts w:hint="eastAsia" w:ascii="仿宋_GB2312" w:hAnsi="仿宋_GB2312" w:eastAsia="仿宋_GB2312" w:cs="仿宋_GB2312"/>
          <w:b/>
          <w:bCs/>
          <w:sz w:val="36"/>
          <w:szCs w:val="36"/>
        </w:rPr>
        <w:t>.开展黄金金融服务。</w:t>
      </w:r>
      <w:r>
        <w:rPr>
          <w:rFonts w:hint="eastAsia" w:ascii="仿宋_GB2312" w:hAnsi="仿宋_GB2312" w:eastAsia="仿宋_GB2312" w:cs="仿宋_GB2312"/>
          <w:sz w:val="36"/>
          <w:szCs w:val="36"/>
        </w:rPr>
        <w:t>通过应收账款质押融资、保理融资、融资租赁等多种融资方式，开展供应链金融服务。支持招金等上海黄金交易所综合类会员单位争取交易所个人客户代理资质和场内特法户业务试点资格。充分发挥我省烟台自贸区创新高地的优势，推进在自贸区内建立黄金期货商品交割库，开展黄金仓单质押融资服务，促进黄金交割流程优化和金融贸易发展。</w:t>
      </w:r>
      <w:r>
        <w:rPr>
          <w:rFonts w:hint="eastAsia" w:ascii="楷体" w:hAnsi="楷体" w:eastAsia="楷体" w:cs="楷体"/>
          <w:sz w:val="36"/>
          <w:szCs w:val="36"/>
        </w:rPr>
        <w:t>（省地方金融监管局、人民银行济南分行按职责分工负责）</w:t>
      </w:r>
    </w:p>
    <w:p>
      <w:pPr>
        <w:spacing w:line="62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2.发展黄金文化旅游。</w:t>
      </w:r>
      <w:r>
        <w:rPr>
          <w:rFonts w:hint="eastAsia" w:ascii="仿宋_GB2312" w:hAnsi="仿宋_GB2312" w:eastAsia="仿宋_GB2312" w:cs="仿宋_GB2312"/>
          <w:sz w:val="36"/>
          <w:szCs w:val="36"/>
        </w:rPr>
        <w:t>加强黄金文化建设，提升黄金文化内涵，打造特色黄金珠宝、黄金旅游等产业。巩固提升黄金博物馆、淘金小镇、黄金珠宝城等黄金文化旅游设施功能，打造高端黄金珠宝首饰批发零售特色聚集区。</w:t>
      </w:r>
      <w:r>
        <w:rPr>
          <w:rFonts w:hint="eastAsia" w:ascii="楷体" w:hAnsi="楷体" w:eastAsia="楷体" w:cs="楷体"/>
          <w:sz w:val="36"/>
          <w:szCs w:val="36"/>
        </w:rPr>
        <w:t>（省文化旅游厅、省工业和信息化厅按职责分工负责）</w:t>
      </w:r>
    </w:p>
    <w:p>
      <w:pPr>
        <w:spacing w:line="620" w:lineRule="exact"/>
        <w:ind w:firstLine="720" w:firstLineChars="200"/>
        <w:rPr>
          <w:rFonts w:ascii="黑体" w:hAnsi="黑体" w:eastAsia="黑体" w:cs="黑体"/>
          <w:sz w:val="36"/>
          <w:szCs w:val="36"/>
        </w:rPr>
      </w:pPr>
      <w:r>
        <w:rPr>
          <w:rFonts w:hint="eastAsia" w:ascii="黑体" w:hAnsi="黑体" w:eastAsia="黑体" w:cs="黑体"/>
          <w:sz w:val="36"/>
          <w:szCs w:val="36"/>
        </w:rPr>
        <w:t>三、保障措施</w:t>
      </w:r>
    </w:p>
    <w:p>
      <w:pPr>
        <w:spacing w:line="620" w:lineRule="exact"/>
        <w:ind w:firstLine="720" w:firstLineChars="200"/>
        <w:rPr>
          <w:rFonts w:ascii="仿宋_GB2312" w:hAnsi="仿宋_GB2312" w:eastAsia="仿宋_GB2312" w:cs="仿宋_GB2312"/>
          <w:sz w:val="36"/>
          <w:szCs w:val="36"/>
        </w:rPr>
      </w:pPr>
      <w:r>
        <w:rPr>
          <w:rFonts w:hint="eastAsia" w:ascii="楷体" w:hAnsi="楷体" w:eastAsia="楷体" w:cs="楷体"/>
          <w:kern w:val="1"/>
          <w:sz w:val="36"/>
          <w:szCs w:val="36"/>
        </w:rPr>
        <w:t>（一）</w:t>
      </w:r>
      <w:r>
        <w:rPr>
          <w:rFonts w:ascii="楷体" w:hAnsi="楷体" w:eastAsia="楷体" w:cs="楷体"/>
          <w:kern w:val="1"/>
          <w:sz w:val="36"/>
          <w:szCs w:val="36"/>
        </w:rPr>
        <w:t>加强</w:t>
      </w:r>
      <w:r>
        <w:rPr>
          <w:rFonts w:hint="eastAsia" w:ascii="楷体" w:hAnsi="楷体" w:eastAsia="楷体" w:cs="楷体"/>
          <w:kern w:val="1"/>
          <w:sz w:val="36"/>
          <w:szCs w:val="36"/>
        </w:rPr>
        <w:t>政策引导。</w:t>
      </w:r>
      <w:r>
        <w:rPr>
          <w:rFonts w:hint="eastAsia" w:ascii="仿宋_GB2312" w:hAnsi="仿宋_GB2312" w:eastAsia="仿宋_GB2312" w:cs="仿宋_GB2312"/>
          <w:sz w:val="36"/>
          <w:szCs w:val="36"/>
        </w:rPr>
        <w:t>研究制定全省黄金行业发展规划，推进行业结构合理布局，丰富完善产业链条。坚持市场化运作，鼓励支持产业基金、创投基金、国丰投资等投资机构，加大对黄金产业投资，逐渐打造专业化产业投资集团。</w:t>
      </w:r>
      <w:r>
        <w:rPr>
          <w:rFonts w:hint="eastAsia" w:ascii="仿宋" w:hAnsi="仿宋" w:eastAsia="仿宋" w:cs="仿宋"/>
          <w:sz w:val="36"/>
          <w:szCs w:val="36"/>
        </w:rPr>
        <w:t>坚持“要素跟着项目走”，通过盘活存量、优化增量，统筹安排项目用地，支持转型升级项目用地需求。</w:t>
      </w:r>
      <w:r>
        <w:rPr>
          <w:rFonts w:hint="eastAsia" w:ascii="仿宋_GB2312" w:hAnsi="仿宋_GB2312" w:eastAsia="仿宋_GB2312" w:cs="仿宋_GB2312"/>
          <w:sz w:val="36"/>
          <w:szCs w:val="36"/>
        </w:rPr>
        <w:t>发挥财政资金引导和放大作用，</w:t>
      </w:r>
      <w:r>
        <w:rPr>
          <w:rFonts w:hint="eastAsia" w:ascii="仿宋" w:hAnsi="仿宋" w:eastAsia="仿宋" w:cs="仿宋"/>
          <w:sz w:val="36"/>
          <w:szCs w:val="36"/>
        </w:rPr>
        <w:t>健全政银企合作机制，积极搞好项目推介，引导金融机构加大黄金产业转型升级的信贷支持力度。</w:t>
      </w:r>
      <w:r>
        <w:rPr>
          <w:rFonts w:hint="eastAsia" w:ascii="楷体" w:hAnsi="楷体" w:eastAsia="楷体" w:cs="楷体"/>
          <w:sz w:val="36"/>
          <w:szCs w:val="36"/>
        </w:rPr>
        <w:t>（省发展改革委、省工业和信息化厅、省财政厅、省地方金融监管局、省税务局、人民银行济南分行按职责分工负责）</w:t>
      </w:r>
    </w:p>
    <w:p>
      <w:pPr>
        <w:spacing w:line="620" w:lineRule="exact"/>
        <w:ind w:firstLine="720" w:firstLineChars="200"/>
        <w:rPr>
          <w:rFonts w:ascii="仿宋_GB2312" w:hAnsi="仿宋_GB2312" w:eastAsia="仿宋_GB2312" w:cs="仿宋_GB2312"/>
          <w:sz w:val="36"/>
          <w:szCs w:val="36"/>
        </w:rPr>
      </w:pPr>
      <w:r>
        <w:rPr>
          <w:rFonts w:hint="eastAsia" w:ascii="楷体_GB2312" w:hAnsi="楷体_GB2312" w:eastAsia="楷体_GB2312" w:cs="楷体_GB2312"/>
          <w:sz w:val="36"/>
          <w:szCs w:val="36"/>
        </w:rPr>
        <w:t>（二）加大改革力度。</w:t>
      </w:r>
      <w:r>
        <w:rPr>
          <w:rFonts w:hint="eastAsia" w:ascii="仿宋_GB2312" w:hAnsi="仿宋_GB2312" w:eastAsia="仿宋_GB2312" w:cs="仿宋_GB2312"/>
          <w:sz w:val="36"/>
          <w:szCs w:val="36"/>
        </w:rPr>
        <w:t>建立和完善政府调控与市场运作相结合的资源优化配置机制，发挥市场对矿产资源配置的基础作用。多措并举，在产业链、供应链上，深化国有企业、民营企业、中小企业合作，形成相互融合、共同发展的局面。健全服务企业工作机制，将“放、管、服”结合起来，进一步简政放权、优化服务，及时纾解企业发展中的难点、堵点，营造良好发展环境。研究和借鉴省外经验做法，积极提出相关减税降费政策意见建议。</w:t>
      </w:r>
      <w:r>
        <w:rPr>
          <w:rFonts w:hint="eastAsia" w:ascii="楷体" w:hAnsi="楷体" w:eastAsia="楷体" w:cs="楷体"/>
          <w:sz w:val="36"/>
          <w:szCs w:val="36"/>
        </w:rPr>
        <w:t>（省发展改革委、省国资委、省工业和信息化厅、省财政厅、省市场监管局、省税务局按职责分工负责）</w:t>
      </w:r>
    </w:p>
    <w:p>
      <w:pPr>
        <w:spacing w:line="620" w:lineRule="exact"/>
        <w:ind w:firstLine="720" w:firstLineChars="200"/>
        <w:rPr>
          <w:rFonts w:ascii="仿宋_GB2312" w:hAnsi="仿宋_GB2312" w:eastAsia="仿宋_GB2312" w:cs="仿宋_GB2312"/>
          <w:sz w:val="36"/>
          <w:szCs w:val="36"/>
        </w:rPr>
      </w:pPr>
      <w:r>
        <w:rPr>
          <w:rFonts w:hint="eastAsia" w:ascii="楷体_GB2312" w:hAnsi="楷体_GB2312" w:eastAsia="楷体_GB2312" w:cs="楷体_GB2312"/>
          <w:sz w:val="36"/>
          <w:szCs w:val="36"/>
        </w:rPr>
        <w:t>（三）</w:t>
      </w:r>
      <w:bookmarkStart w:id="2" w:name="_Toc31379"/>
      <w:r>
        <w:rPr>
          <w:rFonts w:hint="eastAsia" w:ascii="楷体_GB2312" w:hAnsi="楷体_GB2312" w:eastAsia="楷体_GB2312" w:cs="楷体_GB2312"/>
          <w:sz w:val="36"/>
          <w:szCs w:val="36"/>
        </w:rPr>
        <w:t>突出项目</w:t>
      </w:r>
      <w:bookmarkEnd w:id="2"/>
      <w:r>
        <w:rPr>
          <w:rFonts w:hint="eastAsia" w:ascii="楷体_GB2312" w:hAnsi="楷体_GB2312" w:eastAsia="楷体_GB2312" w:cs="楷体_GB2312"/>
          <w:sz w:val="36"/>
          <w:szCs w:val="36"/>
        </w:rPr>
        <w:t>带动。</w:t>
      </w:r>
      <w:r>
        <w:rPr>
          <w:rFonts w:hint="eastAsia" w:ascii="仿宋_GB2312" w:hAnsi="仿宋_GB2312" w:eastAsia="仿宋_GB2312" w:cs="仿宋_GB2312"/>
          <w:sz w:val="36"/>
          <w:szCs w:val="36"/>
        </w:rPr>
        <w:t>依托山东黄金集团、招金集团、中矿集团、</w:t>
      </w:r>
      <w:r>
        <w:rPr>
          <w:rFonts w:hint="eastAsia" w:ascii="仿宋_GB2312" w:hAnsi="仿宋" w:eastAsia="仿宋_GB2312" w:cs="仿宋"/>
          <w:color w:val="000000"/>
          <w:sz w:val="36"/>
          <w:szCs w:val="36"/>
        </w:rPr>
        <w:t>山东恒邦冶炼股份</w:t>
      </w:r>
      <w:r>
        <w:rPr>
          <w:rFonts w:hint="eastAsia" w:ascii="仿宋_GB2312" w:hAnsi="仿宋_GB2312" w:eastAsia="仿宋_GB2312" w:cs="仿宋_GB2312"/>
          <w:sz w:val="36"/>
          <w:szCs w:val="36"/>
        </w:rPr>
        <w:t>等骨干企业，通过合作、共建、品牌输出等方式，以项目招项目、谋合作、促发展。</w:t>
      </w:r>
      <w:r>
        <w:rPr>
          <w:rFonts w:hint="eastAsia" w:ascii="仿宋_GB2312" w:hAnsi="仿宋_GB2312" w:eastAsia="仿宋_GB2312" w:cs="仿宋_GB2312"/>
          <w:sz w:val="36"/>
          <w:szCs w:val="36"/>
          <w:lang w:eastAsia="zh-CN"/>
        </w:rPr>
        <w:t>进一步明确项目核准（备案）的准入条件，简化办理程序，</w:t>
      </w:r>
      <w:r>
        <w:rPr>
          <w:rFonts w:hint="eastAsia" w:ascii="仿宋_GB2312" w:hAnsi="仿宋_GB2312" w:eastAsia="仿宋_GB2312" w:cs="仿宋_GB2312"/>
          <w:sz w:val="36"/>
          <w:szCs w:val="36"/>
        </w:rPr>
        <w:t>通过项目建设，辐射带动中小企业做优做精，强化配套能力，形成分工合理、资源共享、优势互补的产业集聚发展格局。强化全产业链招商，推动招商引资向“找商选资”转变，加快引进一批黄金产业重大项目落地，培育产业发展新动力。</w:t>
      </w:r>
      <w:r>
        <w:rPr>
          <w:rFonts w:hint="eastAsia" w:ascii="楷体" w:hAnsi="楷体" w:eastAsia="楷体" w:cs="楷体"/>
          <w:sz w:val="36"/>
          <w:szCs w:val="36"/>
        </w:rPr>
        <w:t>（省发展改革委、省工业和信息化厅、省商务厅、省国资委按职责分工负责）</w:t>
      </w:r>
    </w:p>
    <w:p>
      <w:pPr>
        <w:spacing w:line="620" w:lineRule="exact"/>
        <w:ind w:firstLine="720" w:firstLineChars="200"/>
        <w:rPr>
          <w:rFonts w:ascii="楷体" w:hAnsi="楷体" w:eastAsia="楷体" w:cs="楷体"/>
          <w:sz w:val="36"/>
          <w:szCs w:val="36"/>
        </w:rPr>
      </w:pPr>
      <w:r>
        <w:rPr>
          <w:rFonts w:hint="eastAsia" w:ascii="楷体_GB2312" w:hAnsi="楷体_GB2312" w:eastAsia="楷体_GB2312" w:cs="楷体_GB2312"/>
          <w:sz w:val="36"/>
          <w:szCs w:val="36"/>
        </w:rPr>
        <w:t>（四）强化人才支撑。</w:t>
      </w:r>
      <w:r>
        <w:rPr>
          <w:rFonts w:hint="eastAsia" w:ascii="仿宋_GB2312" w:hAnsi="仿宋_GB2312" w:eastAsia="仿宋_GB2312" w:cs="仿宋_GB2312"/>
          <w:sz w:val="36"/>
          <w:szCs w:val="36"/>
        </w:rPr>
        <w:t>注重人才供给与产业需求匹配，突出培养黄金行业学术技术带头人和职业技能带头人，建立多层次、多专业的人才引进机制。聚焦产业发展和管理需</w:t>
      </w:r>
      <w:r>
        <w:rPr>
          <w:rFonts w:hint="eastAsia" w:ascii="仿宋_GB2312" w:hAnsi="仿宋_GB2312" w:eastAsia="仿宋_GB2312" w:cs="仿宋_GB2312"/>
          <w:sz w:val="36"/>
          <w:szCs w:val="36"/>
          <w:lang w:eastAsia="zh-CN"/>
        </w:rPr>
        <w:t>求</w:t>
      </w:r>
      <w:r>
        <w:rPr>
          <w:rFonts w:hint="eastAsia" w:ascii="仿宋_GB2312" w:hAnsi="仿宋_GB2312" w:eastAsia="仿宋_GB2312" w:cs="仿宋_GB2312"/>
          <w:sz w:val="36"/>
          <w:szCs w:val="36"/>
        </w:rPr>
        <w:t>，重点引进一批带项目、带成果的人才和团队，形成人才引领产业、产业汇聚人才的发展模式。加强黄金产业技能型人才培养和职业教育，支持高等学校相关学科和专业建设，做好全省黄金人才培养与储备。鼓励黄金企业加强与高等院校合作，采取订单培养等模式，培养专业技能人才。强化企业现有职工技能培训，不断提高职工专业技能水平，满足企业现代信息技术条件下生产管理需要。</w:t>
      </w:r>
      <w:r>
        <w:rPr>
          <w:rFonts w:hint="eastAsia" w:ascii="楷体" w:hAnsi="楷体" w:eastAsia="楷体" w:cs="楷体"/>
          <w:sz w:val="36"/>
          <w:szCs w:val="36"/>
        </w:rPr>
        <w:t>（省人力资源社会保障厅、省教育厅、省工业和信息化厅按职责分工负责）</w:t>
      </w:r>
    </w:p>
    <w:p>
      <w:pPr>
        <w:spacing w:line="560" w:lineRule="exact"/>
        <w:ind w:firstLine="720" w:firstLineChars="200"/>
        <w:rPr>
          <w:rFonts w:ascii="楷体" w:hAnsi="楷体" w:eastAsia="楷体" w:cs="仿宋_GB2312"/>
          <w:sz w:val="32"/>
          <w:szCs w:val="32"/>
        </w:rPr>
      </w:pPr>
      <w:r>
        <w:rPr>
          <w:rFonts w:hint="eastAsia" w:ascii="楷体_GB2312" w:hAnsi="楷体_GB2312" w:eastAsia="楷体_GB2312" w:cs="楷体_GB2312"/>
          <w:sz w:val="36"/>
          <w:szCs w:val="36"/>
        </w:rPr>
        <w:t>（五）发挥协会作用。</w:t>
      </w:r>
      <w:r>
        <w:rPr>
          <w:rFonts w:hint="eastAsia" w:ascii="仿宋_GB2312" w:hAnsi="仿宋_GB2312" w:eastAsia="仿宋_GB2312" w:cs="仿宋_GB2312"/>
          <w:sz w:val="36"/>
          <w:szCs w:val="36"/>
        </w:rPr>
        <w:t>充分发挥山东黄金行业协会在信息交流、科技创新、标准化建设、诚信建设等方面的作用，积极为行业内企业提供信息、技术、管理咨询服务，加强行业自律，提高行业整体素质。深化行业内企业沟通机制，及时反映存在的问题与企业诉求，防止行业内恶性竞争，促进良性发展。</w:t>
      </w:r>
      <w:r>
        <w:rPr>
          <w:rFonts w:hint="eastAsia" w:ascii="楷体" w:hAnsi="楷体" w:eastAsia="楷体" w:cs="楷体"/>
          <w:sz w:val="36"/>
          <w:szCs w:val="36"/>
        </w:rPr>
        <w:t>（省发展改革委、省科技厅、省工业和信息化厅、省黄金协会按职责分工负责）</w:t>
      </w:r>
    </w:p>
    <w:sectPr>
      <w:headerReference r:id="rId3" w:type="default"/>
      <w:footerReference r:id="rId4" w:type="default"/>
      <w:pgSz w:w="11906" w:h="16838"/>
      <w:pgMar w:top="1440" w:right="1366" w:bottom="1440" w:left="1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decorative"/>
    <w:pitch w:val="default"/>
    <w:sig w:usb0="A00002EF" w:usb1="4000207B" w:usb2="00000000" w:usb3="00000000" w:csb0="2000019F"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decorative"/>
    <w:pitch w:val="default"/>
    <w:sig w:usb0="00000000" w:usb1="00000000" w:usb2="00000000" w:usb3="00000000" w:csb0="00040000" w:csb1="00000000"/>
  </w:font>
  <w:font w:name="Calibri Light">
    <w:panose1 w:val="020F0302020204030204"/>
    <w:charset w:val="00"/>
    <w:family w:val="modern"/>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0117B"/>
    <w:rsid w:val="000B4D38"/>
    <w:rsid w:val="000D16FC"/>
    <w:rsid w:val="00167D98"/>
    <w:rsid w:val="00192301"/>
    <w:rsid w:val="003453E6"/>
    <w:rsid w:val="00525A78"/>
    <w:rsid w:val="005574C0"/>
    <w:rsid w:val="005E1FEA"/>
    <w:rsid w:val="007200FE"/>
    <w:rsid w:val="00846CD5"/>
    <w:rsid w:val="008D188D"/>
    <w:rsid w:val="00B75425"/>
    <w:rsid w:val="00C43537"/>
    <w:rsid w:val="00DE529A"/>
    <w:rsid w:val="00E50A6F"/>
    <w:rsid w:val="00FB3E07"/>
    <w:rsid w:val="035B6E09"/>
    <w:rsid w:val="03C30E2B"/>
    <w:rsid w:val="0C5C70D2"/>
    <w:rsid w:val="0EA20611"/>
    <w:rsid w:val="10686C78"/>
    <w:rsid w:val="136C2D9E"/>
    <w:rsid w:val="1652472A"/>
    <w:rsid w:val="1A0B337D"/>
    <w:rsid w:val="1B531365"/>
    <w:rsid w:val="233E2F71"/>
    <w:rsid w:val="2630117B"/>
    <w:rsid w:val="27FB0ADA"/>
    <w:rsid w:val="355D3219"/>
    <w:rsid w:val="359702FF"/>
    <w:rsid w:val="37587BCC"/>
    <w:rsid w:val="4C8909F1"/>
    <w:rsid w:val="4CB64C6B"/>
    <w:rsid w:val="4E237B3B"/>
    <w:rsid w:val="51502171"/>
    <w:rsid w:val="567F6E75"/>
    <w:rsid w:val="65BA2D20"/>
    <w:rsid w:val="6B055433"/>
    <w:rsid w:val="6FED62BE"/>
    <w:rsid w:val="76847FA6"/>
    <w:rsid w:val="790432DA"/>
    <w:rsid w:val="795473D4"/>
    <w:rsid w:val="796D18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qFormat/>
    <w:uiPriority w:val="0"/>
    <w:pPr>
      <w:spacing w:before="240" w:after="60" w:line="540" w:lineRule="exact"/>
      <w:ind w:left="100" w:leftChars="100" w:right="100" w:rightChars="100"/>
      <w:jc w:val="left"/>
      <w:outlineLvl w:val="0"/>
    </w:pPr>
    <w:rPr>
      <w:rFonts w:ascii="Cambria" w:hAnsi="Cambria" w:eastAsia="仿宋" w:cs="宋体"/>
      <w:b/>
      <w:bCs/>
      <w:sz w:val="28"/>
      <w:szCs w:val="20"/>
    </w:r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621</Words>
  <Characters>3543</Characters>
  <Lines>29</Lines>
  <Paragraphs>8</Paragraphs>
  <ScaleCrop>false</ScaleCrop>
  <LinksUpToDate>false</LinksUpToDate>
  <CharactersWithSpaces>4156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2021-04-08T02:03:00Z</dcterms:created>
  <dc:creator>dingjf</dc:creator>
  <cp:lastModifiedBy>ljb</cp:lastModifiedBy>
  <cp:lastPrinted>2021-05-11T07:36:00Z</cp:lastPrinted>
  <dcterms:modified xsi:type="dcterms:W3CDTF">2021-05-12T07:18:00Z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