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widowControl w:val="0"/>
        <w:rPr>
          <w:rFonts w:hint="default" w:ascii="Times New Roman" w:hAnsi="Times New Roman" w:eastAsia="黑体"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fill="FFFFFF"/>
          <w:lang w:val="en-US" w:eastAsia="zh-CN"/>
          <w14:textFill>
            <w14:solidFill>
              <w14:schemeClr w14:val="tx1"/>
            </w14:solidFill>
          </w14:textFill>
        </w:rPr>
        <w:t>附件1</w:t>
      </w:r>
    </w:p>
    <w:p>
      <w:pPr>
        <w:keepNext/>
        <w:widowControl w:val="0"/>
        <w:rPr>
          <w:rFonts w:hint="default" w:ascii="Times New Roman" w:hAnsi="Times New Roman" w:eastAsia="方正小标宋简体" w:cs="Times New Roman"/>
          <w:i w:val="0"/>
          <w:caps w:val="0"/>
          <w:color w:val="000000" w:themeColor="text1"/>
          <w:spacing w:val="0"/>
          <w:sz w:val="36"/>
          <w:szCs w:val="36"/>
          <w:shd w:val="clear" w:fill="FFFFFF"/>
          <w:lang w:val="en-US" w:eastAsia="zh-CN"/>
          <w14:textFill>
            <w14:solidFill>
              <w14:schemeClr w14:val="tx1"/>
            </w14:solidFill>
          </w14:textFill>
        </w:rPr>
      </w:pPr>
    </w:p>
    <w:p>
      <w:pPr>
        <w:keepNext/>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i w:val="0"/>
          <w:caps w:val="0"/>
          <w:color w:val="000000" w:themeColor="text1"/>
          <w:spacing w:val="0"/>
          <w:sz w:val="44"/>
          <w:szCs w:val="44"/>
          <w:shd w:val="clear" w:fill="FFFFFF"/>
          <w:lang w:val="en-US" w:eastAsia="zh-CN"/>
          <w14:textFill>
            <w14:solidFill>
              <w14:schemeClr w14:val="tx1"/>
            </w14:solidFill>
          </w14:textFill>
        </w:rPr>
      </w:pPr>
      <w:r>
        <w:rPr>
          <w:rFonts w:hint="default" w:ascii="Times New Roman" w:hAnsi="Times New Roman" w:eastAsia="方正小标宋简体" w:cs="Times New Roman"/>
          <w:i w:val="0"/>
          <w:caps w:val="0"/>
          <w:color w:val="000000" w:themeColor="text1"/>
          <w:spacing w:val="0"/>
          <w:sz w:val="44"/>
          <w:szCs w:val="44"/>
          <w:shd w:val="clear" w:fill="FFFFFF"/>
          <w:lang w:val="en-US" w:eastAsia="zh-CN"/>
          <w14:textFill>
            <w14:solidFill>
              <w14:schemeClr w14:val="tx1"/>
            </w14:solidFill>
          </w14:textFill>
        </w:rPr>
        <w:t>山东省工业和信息化领域</w:t>
      </w:r>
    </w:p>
    <w:p>
      <w:pPr>
        <w:keepNext/>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i w:val="0"/>
          <w:caps w:val="0"/>
          <w:color w:val="000000" w:themeColor="text1"/>
          <w:spacing w:val="0"/>
          <w:sz w:val="44"/>
          <w:szCs w:val="44"/>
          <w:shd w:val="clear" w:fill="FFFFFF"/>
          <w:lang w:val="en-US" w:eastAsia="zh-CN"/>
          <w14:textFill>
            <w14:solidFill>
              <w14:schemeClr w14:val="tx1"/>
            </w14:solidFill>
          </w14:textFill>
        </w:rPr>
      </w:pPr>
      <w:r>
        <w:rPr>
          <w:rFonts w:hint="default" w:ascii="Times New Roman" w:hAnsi="Times New Roman" w:eastAsia="方正小标宋简体" w:cs="Times New Roman"/>
          <w:i w:val="0"/>
          <w:caps w:val="0"/>
          <w:color w:val="000000" w:themeColor="text1"/>
          <w:spacing w:val="0"/>
          <w:sz w:val="44"/>
          <w:szCs w:val="44"/>
          <w:shd w:val="clear" w:fill="FFFFFF"/>
          <w:lang w:val="en-US" w:eastAsia="zh-CN"/>
          <w14:textFill>
            <w14:solidFill>
              <w14:schemeClr w14:val="tx1"/>
            </w14:solidFill>
          </w14:textFill>
        </w:rPr>
        <w:t>优秀调研</w:t>
      </w:r>
      <w:r>
        <w:rPr>
          <w:rFonts w:hint="eastAsia" w:ascii="Times New Roman" w:hAnsi="Times New Roman" w:eastAsia="方正小标宋简体" w:cs="Times New Roman"/>
          <w:i w:val="0"/>
          <w:caps w:val="0"/>
          <w:color w:val="000000" w:themeColor="text1"/>
          <w:spacing w:val="0"/>
          <w:sz w:val="44"/>
          <w:szCs w:val="44"/>
          <w:shd w:val="clear" w:fill="FFFFFF"/>
          <w:lang w:val="en-US" w:eastAsia="zh-CN"/>
          <w14:textFill>
            <w14:solidFill>
              <w14:schemeClr w14:val="tx1"/>
            </w14:solidFill>
          </w14:textFill>
        </w:rPr>
        <w:t>报告与研究</w:t>
      </w:r>
      <w:r>
        <w:rPr>
          <w:rFonts w:hint="default" w:ascii="Times New Roman" w:hAnsi="Times New Roman" w:eastAsia="方正小标宋简体" w:cs="Times New Roman"/>
          <w:i w:val="0"/>
          <w:caps w:val="0"/>
          <w:color w:val="000000" w:themeColor="text1"/>
          <w:spacing w:val="0"/>
          <w:sz w:val="44"/>
          <w:szCs w:val="44"/>
          <w:shd w:val="clear" w:fill="FFFFFF"/>
          <w:lang w:val="en-US" w:eastAsia="zh-CN"/>
          <w14:textFill>
            <w14:solidFill>
              <w14:schemeClr w14:val="tx1"/>
            </w14:solidFill>
          </w14:textFill>
        </w:rPr>
        <w:t>成果评选办法</w:t>
      </w:r>
      <w:bookmarkStart w:id="0" w:name="_GoBack"/>
      <w:bookmarkEnd w:id="0"/>
    </w:p>
    <w:p>
      <w:pPr>
        <w:keepNext/>
        <w:widowControl w:val="0"/>
        <w:ind w:firstLine="640" w:firstLineChars="200"/>
        <w:rPr>
          <w:rFonts w:hint="default" w:ascii="Times New Roman" w:hAnsi="Times New Roman" w:eastAsia="仿宋" w:cs="Times New Roman"/>
          <w:i w:val="0"/>
          <w:caps w:val="0"/>
          <w:color w:val="000000" w:themeColor="text1"/>
          <w:spacing w:val="0"/>
          <w:sz w:val="32"/>
          <w:szCs w:val="32"/>
          <w:shd w:val="clear" w:fill="FFFFFF"/>
          <w:lang w:val="en-US" w:eastAsia="zh-CN"/>
          <w14:textFill>
            <w14:solidFill>
              <w14:schemeClr w14:val="tx1"/>
            </w14:solidFill>
          </w14:textFill>
        </w:rPr>
      </w:pPr>
    </w:p>
    <w:p>
      <w:pPr>
        <w:keepNext/>
        <w:widowControl w:val="0"/>
        <w:ind w:firstLine="640" w:firstLineChars="200"/>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为规范山东省工业和信息化领域优秀</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报告与研究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评选（以下简称优秀报告成果评选），充分发挥</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报告和研究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推动工业和信息化高质量发展的积极作用，制定本办法。</w:t>
      </w:r>
    </w:p>
    <w:p>
      <w:pPr>
        <w:keepNext/>
        <w:widowControl w:val="0"/>
        <w:ind w:firstLine="640" w:firstLineChars="200"/>
        <w:rPr>
          <w:rFonts w:hint="default" w:ascii="Times New Roman" w:hAnsi="Times New Roman" w:eastAsia="黑体" w:cs="Times New Roman"/>
          <w:i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黑体" w:cs="Times New Roman"/>
          <w:i w:val="0"/>
          <w:caps w:val="0"/>
          <w:color w:val="000000" w:themeColor="text1"/>
          <w:spacing w:val="0"/>
          <w:kern w:val="0"/>
          <w:sz w:val="32"/>
          <w:szCs w:val="32"/>
          <w:lang w:val="en-US" w:eastAsia="zh-CN" w:bidi="ar"/>
          <w14:textFill>
            <w14:solidFill>
              <w14:schemeClr w14:val="tx1"/>
            </w14:solidFill>
          </w14:textFill>
        </w:rPr>
        <w:t>一、目的意义</w:t>
      </w:r>
    </w:p>
    <w:p>
      <w:pPr>
        <w:keepNext/>
        <w:widowControl w:val="0"/>
        <w:ind w:firstLine="640" w:firstLineChars="200"/>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优秀报告成果评选以习近平新时代中国特色社会主义思想为指导，以深入贯彻落实省委省政府“七个走在前列”“九个强省突破”决策部署为宗旨，紧紧</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锚定“走在前列、全面开创”“三个走在前”总遵循、总定位、总航标，深入落实省委“六个一”发展思路、“六个更加注重”策略方法、“十二个着力”重点任务，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通过表彰优秀</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报告和研究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，充分激发和调动全省工业和信息化领域广大工作者的积极性和主动性，发挥参谋助手</w:t>
      </w:r>
      <w:r>
        <w:rPr>
          <w:rFonts w:hint="eastAsia" w:ascii="仿宋_GB2312" w:hAnsi="仿宋_GB2312" w:eastAsia="仿宋_GB2312" w:cs="仿宋_GB2312"/>
          <w:kern w:val="2"/>
          <w:sz w:val="32"/>
          <w:szCs w:val="32"/>
          <w:lang w:val="en-US" w:eastAsia="zh-CN" w:bidi="ar-SA"/>
        </w:rPr>
        <w:t>作用，弘扬“严真细实快”工</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作作风，紧紧围绕中心工作深入调查研究、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积极建言献策，</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形成更多对实际工作具有决策参考和指导作用的高质量</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报告和研究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pPr>
        <w:keepNext/>
        <w:widowControl w:val="0"/>
        <w:ind w:firstLine="640" w:firstLineChars="200"/>
        <w:rPr>
          <w:rFonts w:hint="default" w:ascii="Times New Roman" w:hAnsi="Times New Roman" w:eastAsia="黑体" w:cs="Times New Roman"/>
          <w:i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黑体" w:cs="Times New Roman"/>
          <w:i w:val="0"/>
          <w:caps w:val="0"/>
          <w:color w:val="000000" w:themeColor="text1"/>
          <w:spacing w:val="0"/>
          <w:kern w:val="0"/>
          <w:sz w:val="32"/>
          <w:szCs w:val="32"/>
          <w:lang w:val="en-US" w:eastAsia="zh-CN" w:bidi="ar"/>
          <w14:textFill>
            <w14:solidFill>
              <w14:schemeClr w14:val="tx1"/>
            </w14:solidFill>
          </w14:textFill>
        </w:rPr>
        <w:t>二、组织领导</w:t>
      </w:r>
    </w:p>
    <w:p>
      <w:pPr>
        <w:keepNext/>
        <w:widowControl w:val="0"/>
        <w:numPr>
          <w:ilvl w:val="-1"/>
          <w:numId w:val="0"/>
        </w:numPr>
        <w:ind w:firstLine="640" w:firstLineChars="200"/>
        <w:jc w:val="left"/>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优秀报告成果评选</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由</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工业和信息化厅</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统一组织</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聘请相关专家，成立</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评选委员会。评选委员会办公室设在省工业和信息化厅研究室，</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负责</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开展</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日常工作。</w:t>
      </w:r>
    </w:p>
    <w:p>
      <w:pPr>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default" w:ascii="Times New Roman" w:hAnsi="Times New Roman" w:eastAsia="黑体"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黑体" w:cs="Times New Roman"/>
          <w:i w:val="0"/>
          <w:caps w:val="0"/>
          <w:color w:val="000000" w:themeColor="text1"/>
          <w:spacing w:val="0"/>
          <w:kern w:val="0"/>
          <w:sz w:val="32"/>
          <w:szCs w:val="32"/>
          <w:lang w:val="en-US" w:eastAsia="zh-CN" w:bidi="ar"/>
          <w14:textFill>
            <w14:solidFill>
              <w14:schemeClr w14:val="tx1"/>
            </w14:solidFill>
          </w14:textFill>
        </w:rPr>
        <w:t>三、参评范围</w:t>
      </w:r>
    </w:p>
    <w:p>
      <w:pPr>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各市工业和信息化局，</w:t>
      </w:r>
      <w:r>
        <w:rPr>
          <w:rFonts w:hint="eastAsia" w:ascii="仿宋_GB2312" w:hAnsi="仿宋_GB2312" w:eastAsia="仿宋_GB2312" w:cs="仿宋_GB2312"/>
          <w:color w:val="000000"/>
          <w:kern w:val="0"/>
          <w:sz w:val="32"/>
          <w:szCs w:val="32"/>
          <w:shd w:val="clear" w:fill="FFFFFF"/>
          <w:lang w:val="en-US" w:eastAsia="zh-CN" w:bidi="ar"/>
        </w:rPr>
        <w:t>济南市、青岛市民营经济发展局，滨州市民营经济发展服务中心，</w:t>
      </w:r>
      <w:r>
        <w:rPr>
          <w:rFonts w:hint="eastAsia" w:ascii="仿宋_GB2312" w:hAnsi="仿宋_GB2312" w:eastAsia="仿宋_GB2312" w:cs="仿宋_GB2312"/>
          <w:color w:val="000000"/>
          <w:sz w:val="32"/>
          <w:szCs w:val="32"/>
          <w:shd w:val="clear" w:fill="FFFFFF"/>
          <w:lang w:eastAsia="zh-CN"/>
        </w:rPr>
        <w:t>省化工专项行动办公室，</w:t>
      </w:r>
      <w:r>
        <w:rPr>
          <w:rFonts w:hint="eastAsia" w:ascii="仿宋_GB2312" w:hAnsi="仿宋_GB2312" w:eastAsia="仿宋_GB2312" w:cs="仿宋_GB2312"/>
          <w:color w:val="000000"/>
          <w:kern w:val="2"/>
          <w:sz w:val="32"/>
          <w:szCs w:val="32"/>
          <w:shd w:val="clear" w:fill="FFFFFF"/>
          <w:lang w:bidi="ar-SA"/>
        </w:rPr>
        <w:t>省工业和信息化厅</w:t>
      </w:r>
      <w:r>
        <w:rPr>
          <w:rFonts w:hint="eastAsia" w:ascii="仿宋_GB2312" w:hAnsi="仿宋_GB2312" w:eastAsia="仿宋_GB2312" w:cs="仿宋_GB2312"/>
          <w:color w:val="000000"/>
          <w:kern w:val="2"/>
          <w:sz w:val="32"/>
          <w:szCs w:val="32"/>
          <w:shd w:val="clear" w:fill="FFFFFF"/>
          <w:lang w:eastAsia="zh-CN" w:bidi="ar-SA"/>
        </w:rPr>
        <w:t>各直</w:t>
      </w:r>
      <w:r>
        <w:rPr>
          <w:rFonts w:hint="eastAsia" w:ascii="仿宋_GB2312" w:hAnsi="仿宋_GB2312" w:eastAsia="仿宋_GB2312" w:cs="仿宋_GB2312"/>
          <w:color w:val="000000"/>
          <w:kern w:val="2"/>
          <w:sz w:val="32"/>
          <w:szCs w:val="32"/>
          <w:shd w:val="clear" w:fill="FFFFFF"/>
          <w:lang w:bidi="ar-SA"/>
        </w:rPr>
        <w:t>属</w:t>
      </w:r>
      <w:r>
        <w:rPr>
          <w:rFonts w:hint="eastAsia" w:ascii="仿宋_GB2312" w:hAnsi="仿宋_GB2312" w:eastAsia="仿宋_GB2312" w:cs="仿宋_GB2312"/>
          <w:color w:val="000000"/>
          <w:kern w:val="2"/>
          <w:sz w:val="32"/>
          <w:szCs w:val="32"/>
          <w:shd w:val="clear" w:fill="FFFFFF"/>
          <w:lang w:eastAsia="zh-CN" w:bidi="ar-SA"/>
        </w:rPr>
        <w:t>、管理</w:t>
      </w:r>
      <w:r>
        <w:rPr>
          <w:rFonts w:hint="eastAsia" w:ascii="仿宋_GB2312" w:hAnsi="仿宋_GB2312" w:eastAsia="仿宋_GB2312" w:cs="仿宋_GB2312"/>
          <w:color w:val="000000"/>
          <w:kern w:val="2"/>
          <w:sz w:val="32"/>
          <w:szCs w:val="32"/>
          <w:shd w:val="clear" w:fill="FFFFFF"/>
          <w:lang w:bidi="ar-SA"/>
        </w:rPr>
        <w:t>单位</w:t>
      </w:r>
      <w:r>
        <w:rPr>
          <w:rFonts w:hint="eastAsia" w:ascii="仿宋_GB2312" w:hAnsi="仿宋_GB2312" w:eastAsia="仿宋_GB2312" w:cs="仿宋_GB2312"/>
          <w:color w:val="000000"/>
          <w:kern w:val="2"/>
          <w:sz w:val="32"/>
          <w:szCs w:val="32"/>
          <w:shd w:val="clear" w:fill="FFFFFF"/>
          <w:lang w:eastAsia="zh-CN" w:bidi="ar-SA"/>
        </w:rPr>
        <w:t>、机关</w:t>
      </w:r>
      <w:r>
        <w:rPr>
          <w:rFonts w:hint="eastAsia" w:ascii="仿宋_GB2312" w:hAnsi="仿宋_GB2312" w:eastAsia="仿宋_GB2312" w:cs="仿宋_GB2312"/>
          <w:color w:val="000000"/>
          <w:kern w:val="2"/>
          <w:sz w:val="32"/>
          <w:szCs w:val="32"/>
          <w:shd w:val="clear" w:fill="FFFFFF"/>
          <w:lang w:val="en-US" w:eastAsia="zh-CN" w:bidi="ar-SA"/>
        </w:rPr>
        <w:t>各处室</w:t>
      </w:r>
      <w:r>
        <w:rPr>
          <w:rFonts w:hint="eastAsia" w:ascii="仿宋_GB2312" w:hAnsi="仿宋_GB2312" w:eastAsia="仿宋_GB2312" w:cs="仿宋_GB2312"/>
          <w:color w:val="000000" w:themeColor="text1"/>
          <w:kern w:val="2"/>
          <w:sz w:val="32"/>
          <w:szCs w:val="32"/>
          <w:shd w:val="clear" w:fill="FFFFFF"/>
          <w:lang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shd w:val="clear" w:fill="FFFFFF"/>
          <w:lang w:val="en-US" w:eastAsia="zh-CN" w:bidi="ar-SA"/>
          <w14:textFill>
            <w14:solidFill>
              <w14:schemeClr w14:val="tx1"/>
            </w14:solidFill>
          </w14:textFill>
        </w:rPr>
        <w:t>省级各行业协会、产业链产业集群培育机构、公共服务平台、社会智库</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和大企业研究院所，以及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其他开展工信领域研究工作的相关企事业单位（以下简称其他相关企事业单位）</w:t>
      </w:r>
      <w:r>
        <w:rPr>
          <w:rFonts w:hint="eastAsia" w:ascii="仿宋_GB2312" w:hAnsi="仿宋_GB2312" w:eastAsia="仿宋_GB2312" w:cs="仿宋_GB2312"/>
          <w:i w:val="0"/>
          <w:caps w:val="0"/>
          <w:color w:val="000000" w:themeColor="text1"/>
          <w:spacing w:val="0"/>
          <w:kern w:val="2"/>
          <w:sz w:val="32"/>
          <w:szCs w:val="32"/>
          <w:shd w:val="clear" w:fill="FFFFFF"/>
          <w:lang w:val="en-US" w:eastAsia="zh-CN" w:bidi="ar"/>
          <w14:textFill>
            <w14:solidFill>
              <w14:schemeClr w14:val="tx1"/>
            </w14:solidFill>
          </w14:textFill>
        </w:rPr>
        <w:t>围绕全省工业和信息化高质量发展，深入实际调查研究，形成的具有较高参考价值的</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报告和决策咨询类研究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kern w:val="2"/>
          <w:sz w:val="32"/>
          <w:szCs w:val="32"/>
          <w:shd w:val="clear" w:fill="FFFFFF"/>
          <w:lang w:val="en-US" w:eastAsia="zh-CN" w:bidi="ar"/>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Times New Roman" w:hAnsi="Times New Roman" w:eastAsia="黑体" w:cs="Times New Roman"/>
          <w:color w:val="000000" w:themeColor="text1"/>
          <w:kern w:val="0"/>
          <w:sz w:val="32"/>
          <w:szCs w:val="32"/>
          <w:shd w:val="cle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lang w:eastAsia="zh-CN"/>
          <w14:textFill>
            <w14:solidFill>
              <w14:schemeClr w14:val="tx1"/>
            </w14:solidFill>
          </w14:textFill>
        </w:rPr>
        <w:t>四、</w:t>
      </w:r>
      <w:r>
        <w:rPr>
          <w:rFonts w:hint="default" w:ascii="Times New Roman" w:hAnsi="Times New Roman" w:eastAsia="黑体" w:cs="Times New Roman"/>
          <w:color w:val="000000" w:themeColor="text1"/>
          <w:kern w:val="0"/>
          <w:sz w:val="32"/>
          <w:szCs w:val="32"/>
          <w14:textFill>
            <w14:solidFill>
              <w14:schemeClr w14:val="tx1"/>
            </w14:solidFill>
          </w14:textFill>
        </w:rPr>
        <w:t>奖项设置</w:t>
      </w:r>
    </w:p>
    <w:p>
      <w:pPr>
        <w:pStyle w:val="10"/>
        <w:keepNext/>
        <w:widowControl w:val="0"/>
        <w:pBdr>
          <w:top w:val="none" w:color="auto" w:sz="0" w:space="0"/>
          <w:left w:val="none" w:color="auto" w:sz="0" w:space="0"/>
          <w:bottom w:val="none" w:color="auto" w:sz="0" w:space="0"/>
          <w:right w:val="none" w:color="auto" w:sz="0" w:space="0"/>
        </w:pBdr>
        <w:spacing w:beforeAutospacing="0" w:afterAutospacing="0" w:line="240" w:lineRule="auto"/>
        <w:ind w:firstLine="640" w:firstLineChars="200"/>
        <w:rPr>
          <w:rFonts w:hint="eastAsia" w:ascii="仿宋_GB2312" w:hAnsi="仿宋_GB2312" w:eastAsia="仿宋_GB2312" w:cs="仿宋_GB2312"/>
          <w:color w:val="000000" w:themeColor="text1"/>
          <w:kern w:val="2"/>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优秀报告成果评选</w:t>
      </w:r>
      <w:r>
        <w:rPr>
          <w:rFonts w:hint="eastAsia" w:ascii="仿宋_GB2312" w:hAnsi="仿宋_GB2312" w:eastAsia="仿宋_GB2312" w:cs="仿宋_GB2312"/>
          <w:color w:val="000000" w:themeColor="text1"/>
          <w:kern w:val="2"/>
          <w:sz w:val="32"/>
          <w:szCs w:val="32"/>
          <w:shd w:val="clear" w:fill="FFFFFF"/>
          <w14:textFill>
            <w14:solidFill>
              <w14:schemeClr w14:val="tx1"/>
            </w14:solidFill>
          </w14:textFill>
        </w:rPr>
        <w:t>设一、二、三等奖，奖项数量根据</w:t>
      </w:r>
      <w:r>
        <w:rPr>
          <w:rFonts w:hint="eastAsia" w:ascii="仿宋_GB2312" w:hAnsi="仿宋_GB2312" w:eastAsia="仿宋_GB2312" w:cs="仿宋_GB2312"/>
          <w:color w:val="000000" w:themeColor="text1"/>
          <w:kern w:val="2"/>
          <w:sz w:val="32"/>
          <w:szCs w:val="32"/>
          <w:shd w:val="clear" w:fill="FFFFFF"/>
          <w:lang w:eastAsia="zh-CN"/>
          <w14:textFill>
            <w14:solidFill>
              <w14:schemeClr w14:val="tx1"/>
            </w14:solidFill>
          </w14:textFill>
        </w:rPr>
        <w:t>推荐</w:t>
      </w:r>
      <w:r>
        <w:rPr>
          <w:rFonts w:hint="eastAsia" w:ascii="仿宋_GB2312" w:hAnsi="仿宋_GB2312" w:eastAsia="仿宋_GB2312" w:cs="仿宋_GB2312"/>
          <w:color w:val="000000" w:themeColor="text1"/>
          <w:kern w:val="2"/>
          <w:sz w:val="32"/>
          <w:szCs w:val="32"/>
          <w:shd w:val="clear" w:fill="FFFFFF"/>
          <w14:textFill>
            <w14:solidFill>
              <w14:schemeClr w14:val="tx1"/>
            </w14:solidFill>
          </w14:textFill>
        </w:rPr>
        <w:t>情况按一定比例设置</w:t>
      </w:r>
      <w:r>
        <w:rPr>
          <w:rFonts w:hint="eastAsia" w:ascii="仿宋_GB2312" w:hAnsi="仿宋_GB2312" w:eastAsia="仿宋_GB2312" w:cs="仿宋_GB2312"/>
          <w:color w:val="000000" w:themeColor="text1"/>
          <w:kern w:val="2"/>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shd w:val="clear" w:fill="FFFFFF"/>
          <w14:textFill>
            <w14:solidFill>
              <w14:schemeClr w14:val="tx1"/>
            </w14:solidFill>
          </w14:textFill>
        </w:rPr>
        <w:t>对获奖者颁发</w:t>
      </w:r>
      <w:r>
        <w:rPr>
          <w:rFonts w:hint="eastAsia" w:ascii="仿宋_GB2312" w:hAnsi="仿宋_GB2312" w:eastAsia="仿宋_GB2312" w:cs="仿宋_GB2312"/>
          <w:color w:val="000000" w:themeColor="text1"/>
          <w:kern w:val="2"/>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山东</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工业和信息化领域</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优秀调研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报告（或研究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shd w:val="clear" w:fill="FFFFFF"/>
          <w:lang w:eastAsia="zh-CN"/>
          <w14:textFill>
            <w14:solidFill>
              <w14:schemeClr w14:val="tx1"/>
            </w14:solidFill>
          </w14:textFill>
        </w:rPr>
        <w:t>”荣誉</w:t>
      </w:r>
      <w:r>
        <w:rPr>
          <w:rFonts w:hint="eastAsia" w:ascii="仿宋_GB2312" w:hAnsi="仿宋_GB2312" w:eastAsia="仿宋_GB2312" w:cs="仿宋_GB2312"/>
          <w:color w:val="000000" w:themeColor="text1"/>
          <w:kern w:val="2"/>
          <w:sz w:val="32"/>
          <w:szCs w:val="32"/>
          <w:shd w:val="clear" w:fill="FFFFFF"/>
          <w14:textFill>
            <w14:solidFill>
              <w14:schemeClr w14:val="tx1"/>
            </w14:solidFill>
          </w14:textFill>
        </w:rPr>
        <w:t>证书</w:t>
      </w:r>
      <w:r>
        <w:rPr>
          <w:rFonts w:hint="eastAsia" w:ascii="仿宋_GB2312" w:hAnsi="仿宋_GB2312" w:eastAsia="仿宋_GB2312" w:cs="仿宋_GB2312"/>
          <w:color w:val="000000" w:themeColor="text1"/>
          <w:kern w:val="2"/>
          <w:sz w:val="32"/>
          <w:szCs w:val="32"/>
          <w:shd w:val="clear" w:fill="FFFFFF"/>
          <w:lang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五、评选标准</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Times New Roman" w:hAnsi="Times New Roman" w:eastAsia="仿宋" w:cs="Times New Roman"/>
          <w:i w:val="0"/>
          <w:caps w:val="0"/>
          <w:color w:val="000000" w:themeColor="text1"/>
          <w:spacing w:val="0"/>
          <w:kern w:val="2"/>
          <w:sz w:val="32"/>
          <w:szCs w:val="32"/>
          <w:shd w:val="clear"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（一）围绕中心。</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报告和研究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kern w:val="2"/>
          <w:sz w:val="32"/>
          <w:szCs w:val="32"/>
          <w:shd w:val="clear" w:fill="FFFFFF"/>
          <w:lang w:eastAsia="zh-CN"/>
          <w14:textFill>
            <w14:solidFill>
              <w14:schemeClr w14:val="tx1"/>
            </w14:solidFill>
          </w14:textFill>
        </w:rPr>
        <w:t>须服务于全省工业和信息化高质量发展，有助于</w:t>
      </w:r>
      <w:r>
        <w:rPr>
          <w:rFonts w:hint="eastAsia" w:ascii="仿宋_GB2312" w:hAnsi="仿宋_GB2312" w:eastAsia="仿宋_GB2312" w:cs="仿宋_GB2312"/>
          <w:i w:val="0"/>
          <w:caps w:val="0"/>
          <w:color w:val="000000" w:themeColor="text1"/>
          <w:spacing w:val="0"/>
          <w:kern w:val="2"/>
          <w:sz w:val="32"/>
          <w:szCs w:val="32"/>
          <w:shd w:val="clear" w:fill="FFFFFF"/>
          <w:lang w:val="en-US" w:eastAsia="zh-CN"/>
          <w14:textFill>
            <w14:solidFill>
              <w14:schemeClr w14:val="tx1"/>
            </w14:solidFill>
          </w14:textFill>
        </w:rPr>
        <w:t>各级党委、</w:t>
      </w:r>
      <w:r>
        <w:rPr>
          <w:rFonts w:hint="eastAsia" w:ascii="仿宋_GB2312" w:hAnsi="仿宋_GB2312" w:eastAsia="仿宋_GB2312" w:cs="仿宋_GB2312"/>
          <w:i w:val="0"/>
          <w:caps w:val="0"/>
          <w:color w:val="000000" w:themeColor="text1"/>
          <w:spacing w:val="0"/>
          <w:kern w:val="2"/>
          <w:sz w:val="32"/>
          <w:szCs w:val="32"/>
          <w:shd w:val="clear" w:fill="FFFFFF"/>
          <w:lang w:eastAsia="zh-CN"/>
          <w14:textFill>
            <w14:solidFill>
              <w14:schemeClr w14:val="tx1"/>
            </w14:solidFill>
          </w14:textFill>
        </w:rPr>
        <w:t>政府和领导决策</w:t>
      </w:r>
      <w:r>
        <w:rPr>
          <w:rFonts w:hint="eastAsia" w:ascii="仿宋_GB2312" w:hAnsi="仿宋_GB2312" w:eastAsia="仿宋_GB2312" w:cs="仿宋_GB2312"/>
          <w:i w:val="0"/>
          <w:caps w:val="0"/>
          <w:color w:val="000000" w:themeColor="text1"/>
          <w:spacing w:val="0"/>
          <w:kern w:val="2"/>
          <w:sz w:val="32"/>
          <w:szCs w:val="32"/>
          <w:shd w:val="clear" w:fill="FFFFFF"/>
          <w:lang w:val="en-US" w:eastAsia="zh-CN"/>
          <w14:textFill>
            <w14:solidFill>
              <w14:schemeClr w14:val="tx1"/>
            </w14:solidFill>
          </w14:textFill>
        </w:rPr>
        <w:t>参考</w:t>
      </w:r>
      <w:r>
        <w:rPr>
          <w:rFonts w:hint="eastAsia" w:ascii="仿宋_GB2312" w:hAnsi="仿宋_GB2312" w:eastAsia="仿宋_GB2312" w:cs="仿宋_GB2312"/>
          <w:i w:val="0"/>
          <w:caps w:val="0"/>
          <w:color w:val="000000" w:themeColor="text1"/>
          <w:spacing w:val="0"/>
          <w:kern w:val="2"/>
          <w:sz w:val="32"/>
          <w:szCs w:val="32"/>
          <w:shd w:val="clear" w:fill="FFFFFF"/>
          <w:lang w:eastAsia="zh-CN"/>
          <w14:textFill>
            <w14:solidFill>
              <w14:schemeClr w14:val="tx1"/>
            </w14:solidFill>
          </w14:textFill>
        </w:rPr>
        <w:t>，有利于解决产业发展中存在的实际问题。</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kern w:val="2"/>
          <w:sz w:val="32"/>
          <w:szCs w:val="32"/>
          <w:shd w:val="clear"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（二）观点明确。</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报告和研究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kern w:val="2"/>
          <w:sz w:val="32"/>
          <w:szCs w:val="32"/>
          <w:shd w:val="clear" w:fill="FFFFFF"/>
          <w:lang w:eastAsia="zh-CN"/>
          <w14:textFill>
            <w14:solidFill>
              <w14:schemeClr w14:val="tx1"/>
            </w14:solidFill>
          </w14:textFill>
        </w:rPr>
        <w:t>须观点明确、针对性强，对存在问题和主要原因把握准确、分析透彻，语言规范、简练，结构严谨、层次清楚、文理通顺、篇幅适当。</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kern w:val="2"/>
          <w:sz w:val="32"/>
          <w:szCs w:val="32"/>
          <w:shd w:val="clear"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（三）内容详实。</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报告和研究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kern w:val="2"/>
          <w:sz w:val="32"/>
          <w:szCs w:val="32"/>
          <w:shd w:val="clear" w:fill="FFFFFF"/>
          <w:lang w:eastAsia="zh-CN"/>
          <w14:textFill>
            <w14:solidFill>
              <w14:schemeClr w14:val="tx1"/>
            </w14:solidFill>
          </w14:textFill>
        </w:rPr>
        <w:t>所反映的问题实事求是，所得出的结论有理有据，所列举的事例、数据和资料真实准确。</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kern w:val="2"/>
          <w:sz w:val="32"/>
          <w:szCs w:val="32"/>
          <w:shd w:val="clear"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（四）建议可行。</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报告和研究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kern w:val="2"/>
          <w:sz w:val="32"/>
          <w:szCs w:val="32"/>
          <w:shd w:val="clear" w:fill="FFFFFF"/>
          <w:lang w:eastAsia="zh-CN"/>
          <w14:textFill>
            <w14:solidFill>
              <w14:schemeClr w14:val="tx1"/>
            </w14:solidFill>
          </w14:textFill>
        </w:rPr>
        <w:t>所提建议合理、合法，措施具体、实用，有较高的参考价值和较强的可操作性。</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Times New Roman" w:hAnsi="Times New Roman" w:eastAsia="黑体" w:cs="Times New Roman"/>
          <w:i w:val="0"/>
          <w:caps w:val="0"/>
          <w:color w:val="000000" w:themeColor="text1"/>
          <w:spacing w:val="0"/>
          <w:sz w:val="32"/>
          <w:szCs w:val="32"/>
          <w:shd w:val="clear"/>
          <w:lang w:eastAsia="zh-CN"/>
          <w14:textFill>
            <w14:solidFill>
              <w14:schemeClr w14:val="tx1"/>
            </w14:solidFill>
          </w14:textFill>
        </w:rPr>
      </w:pPr>
      <w:r>
        <w:rPr>
          <w:rFonts w:hint="eastAsia" w:ascii="Times New Roman" w:hAnsi="Times New Roman" w:eastAsia="黑体" w:cs="Times New Roman"/>
          <w:i w:val="0"/>
          <w:caps w:val="0"/>
          <w:color w:val="000000" w:themeColor="text1"/>
          <w:spacing w:val="0"/>
          <w:sz w:val="32"/>
          <w:szCs w:val="32"/>
          <w:shd w:val="clear"/>
          <w:lang w:eastAsia="zh-CN"/>
          <w14:textFill>
            <w14:solidFill>
              <w14:schemeClr w14:val="tx1"/>
            </w14:solidFill>
          </w14:textFill>
        </w:rPr>
        <w:t>六</w:t>
      </w:r>
      <w:r>
        <w:rPr>
          <w:rFonts w:hint="default" w:ascii="Times New Roman" w:hAnsi="Times New Roman" w:eastAsia="黑体" w:cs="Times New Roman"/>
          <w:i w:val="0"/>
          <w:caps w:val="0"/>
          <w:color w:val="000000" w:themeColor="text1"/>
          <w:spacing w:val="0"/>
          <w:sz w:val="32"/>
          <w:szCs w:val="32"/>
          <w:shd w:val="clear"/>
          <w14:textFill>
            <w14:solidFill>
              <w14:schemeClr w14:val="tx1"/>
            </w14:solidFill>
          </w14:textFill>
        </w:rPr>
        <w:t>、</w:t>
      </w:r>
      <w:r>
        <w:rPr>
          <w:rFonts w:hint="eastAsia" w:ascii="Times New Roman" w:hAnsi="Times New Roman" w:eastAsia="黑体" w:cs="Times New Roman"/>
          <w:i w:val="0"/>
          <w:caps w:val="0"/>
          <w:color w:val="000000" w:themeColor="text1"/>
          <w:spacing w:val="0"/>
          <w:sz w:val="32"/>
          <w:szCs w:val="32"/>
          <w:shd w:val="clear"/>
          <w:lang w:eastAsia="zh-CN"/>
          <w14:textFill>
            <w14:solidFill>
              <w14:schemeClr w14:val="tx1"/>
            </w14:solidFill>
          </w14:textFill>
        </w:rPr>
        <w:t>推荐</w:t>
      </w:r>
      <w:r>
        <w:rPr>
          <w:rFonts w:hint="default" w:ascii="Times New Roman" w:hAnsi="Times New Roman" w:eastAsia="黑体" w:cs="Times New Roman"/>
          <w:i w:val="0"/>
          <w:caps w:val="0"/>
          <w:color w:val="000000" w:themeColor="text1"/>
          <w:spacing w:val="0"/>
          <w:sz w:val="32"/>
          <w:szCs w:val="32"/>
          <w:shd w:val="clear"/>
          <w14:textFill>
            <w14:solidFill>
              <w14:schemeClr w14:val="tx1"/>
            </w14:solidFill>
          </w14:textFill>
        </w:rPr>
        <w:t>条件</w:t>
      </w:r>
      <w:r>
        <w:rPr>
          <w:rFonts w:hint="eastAsia" w:ascii="Times New Roman" w:hAnsi="Times New Roman" w:eastAsia="黑体" w:cs="Times New Roman"/>
          <w:i w:val="0"/>
          <w:caps w:val="0"/>
          <w:color w:val="000000" w:themeColor="text1"/>
          <w:spacing w:val="0"/>
          <w:sz w:val="32"/>
          <w:szCs w:val="32"/>
          <w:shd w:val="clear"/>
          <w:lang w:eastAsia="zh-CN"/>
          <w14:textFill>
            <w14:solidFill>
              <w14:schemeClr w14:val="tx1"/>
            </w14:solidFill>
          </w14:textFill>
        </w:rPr>
        <w:t>和要求</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（一）</w:t>
      </w:r>
      <w:r>
        <w:rPr>
          <w:rFonts w:hint="eastAsia"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优秀报告</w:t>
      </w: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成果</w:t>
      </w:r>
      <w:r>
        <w:rPr>
          <w:rFonts w:hint="eastAsia"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推荐条件</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1.坚持正确的政治方向、价值取向和研究导向</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在评选活动开展</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年度内完成的原创性调研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报告或研究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并</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享有著作权，无抄袭他人成果或侵权情况</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主要内容已</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在</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正式出版物</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上发表或</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已通过工作途径呈报有关领导或部门参阅，并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对推动实际工作</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产生较大</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作用</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4.已获得省级（含）以上奖励的报告成果不再参评。</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.已</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取得</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实际应用的</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报告成果</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须</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提供相应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的</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证明材料</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报告正文字数</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原则上</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不超过</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6000</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字，</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研究成果</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正文</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字数不限。</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7.涉密材料不得推荐参加评选，</w:t>
      </w:r>
      <w:r>
        <w:rPr>
          <w:rFonts w:hint="eastAsia" w:ascii="仿宋_GB2312" w:hAnsi="仿宋_GB2312" w:eastAsia="仿宋_GB2312" w:cs="仿宋_GB2312"/>
          <w:color w:val="000000" w:themeColor="text1"/>
          <w:sz w:val="32"/>
          <w:szCs w:val="32"/>
          <w:shd w:val="clear" w:fill="FFFFFF"/>
          <w:lang w:eastAsia="zh-CN"/>
          <w14:textFill>
            <w14:solidFill>
              <w14:schemeClr w14:val="tx1"/>
            </w14:solidFill>
          </w14:textFill>
        </w:rPr>
        <w:t>如因推荐单位或作者</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造成失泄密的，由</w:t>
      </w:r>
      <w:r>
        <w:rPr>
          <w:rFonts w:hint="eastAsia" w:ascii="仿宋_GB2312" w:hAnsi="仿宋_GB2312" w:eastAsia="仿宋_GB2312" w:cs="仿宋_GB2312"/>
          <w:color w:val="000000" w:themeColor="text1"/>
          <w:sz w:val="32"/>
          <w:szCs w:val="32"/>
          <w:shd w:val="clear" w:fill="FFFFFF"/>
          <w:lang w:eastAsia="zh-CN"/>
          <w14:textFill>
            <w14:solidFill>
              <w14:schemeClr w14:val="tx1"/>
            </w14:solidFill>
          </w14:textFill>
        </w:rPr>
        <w:t>推荐单位和作者</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承担</w:t>
      </w:r>
      <w:r>
        <w:rPr>
          <w:rFonts w:hint="eastAsia" w:ascii="仿宋_GB2312" w:hAnsi="仿宋_GB2312" w:eastAsia="仿宋_GB2312" w:cs="仿宋_GB2312"/>
          <w:color w:val="000000" w:themeColor="text1"/>
          <w:sz w:val="32"/>
          <w:szCs w:val="32"/>
          <w:shd w:val="clear" w:fill="FFFFFF"/>
          <w:lang w:eastAsia="zh-CN"/>
          <w14:textFill>
            <w14:solidFill>
              <w14:schemeClr w14:val="tx1"/>
            </w14:solidFill>
          </w14:textFill>
        </w:rPr>
        <w:t>相应</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责任。</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二</w:t>
      </w: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推荐要求</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1.</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各市工业和信息化局，</w:t>
      </w:r>
      <w:r>
        <w:rPr>
          <w:rFonts w:hint="eastAsia" w:ascii="仿宋_GB2312" w:hAnsi="仿宋_GB2312" w:eastAsia="仿宋_GB2312" w:cs="仿宋_GB2312"/>
          <w:color w:val="000000"/>
          <w:kern w:val="0"/>
          <w:sz w:val="32"/>
          <w:szCs w:val="32"/>
          <w:shd w:val="clear" w:fill="FFFFFF"/>
          <w:lang w:val="en-US" w:eastAsia="zh-CN" w:bidi="ar"/>
        </w:rPr>
        <w:t>济南市、青岛市民营经济发展局，滨州市民营经济发展服务中心，</w:t>
      </w:r>
      <w:r>
        <w:rPr>
          <w:rFonts w:hint="eastAsia" w:ascii="仿宋_GB2312" w:hAnsi="仿宋_GB2312" w:eastAsia="仿宋_GB2312" w:cs="仿宋_GB2312"/>
          <w:color w:val="000000"/>
          <w:sz w:val="32"/>
          <w:szCs w:val="32"/>
          <w:shd w:val="clear" w:fill="FFFFFF"/>
          <w:lang w:eastAsia="zh-CN"/>
        </w:rPr>
        <w:t>省化工专项行动办公室，</w:t>
      </w:r>
      <w:r>
        <w:rPr>
          <w:rFonts w:hint="eastAsia" w:ascii="仿宋_GB2312" w:hAnsi="仿宋_GB2312" w:eastAsia="仿宋_GB2312" w:cs="仿宋_GB2312"/>
          <w:color w:val="000000"/>
          <w:kern w:val="2"/>
          <w:sz w:val="32"/>
          <w:szCs w:val="32"/>
          <w:shd w:val="clear" w:fill="FFFFFF"/>
          <w:lang w:bidi="ar-SA"/>
        </w:rPr>
        <w:t>省工业和信息化厅</w:t>
      </w:r>
      <w:r>
        <w:rPr>
          <w:rFonts w:hint="eastAsia" w:ascii="仿宋_GB2312" w:hAnsi="仿宋_GB2312" w:eastAsia="仿宋_GB2312" w:cs="仿宋_GB2312"/>
          <w:color w:val="000000"/>
          <w:kern w:val="2"/>
          <w:sz w:val="32"/>
          <w:szCs w:val="32"/>
          <w:shd w:val="clear" w:fill="FFFFFF"/>
          <w:lang w:eastAsia="zh-CN" w:bidi="ar-SA"/>
        </w:rPr>
        <w:t>各直</w:t>
      </w:r>
      <w:r>
        <w:rPr>
          <w:rFonts w:hint="eastAsia" w:ascii="仿宋_GB2312" w:hAnsi="仿宋_GB2312" w:eastAsia="仿宋_GB2312" w:cs="仿宋_GB2312"/>
          <w:color w:val="000000"/>
          <w:kern w:val="2"/>
          <w:sz w:val="32"/>
          <w:szCs w:val="32"/>
          <w:shd w:val="clear" w:fill="FFFFFF"/>
          <w:lang w:bidi="ar-SA"/>
        </w:rPr>
        <w:t>属</w:t>
      </w:r>
      <w:r>
        <w:rPr>
          <w:rFonts w:hint="eastAsia" w:ascii="仿宋_GB2312" w:hAnsi="仿宋_GB2312" w:eastAsia="仿宋_GB2312" w:cs="仿宋_GB2312"/>
          <w:color w:val="000000"/>
          <w:kern w:val="2"/>
          <w:sz w:val="32"/>
          <w:szCs w:val="32"/>
          <w:shd w:val="clear" w:fill="FFFFFF"/>
          <w:lang w:eastAsia="zh-CN" w:bidi="ar-SA"/>
        </w:rPr>
        <w:t>、管理</w:t>
      </w:r>
      <w:r>
        <w:rPr>
          <w:rFonts w:hint="eastAsia" w:ascii="仿宋_GB2312" w:hAnsi="仿宋_GB2312" w:eastAsia="仿宋_GB2312" w:cs="仿宋_GB2312"/>
          <w:color w:val="000000"/>
          <w:kern w:val="2"/>
          <w:sz w:val="32"/>
          <w:szCs w:val="32"/>
          <w:shd w:val="clear" w:fill="FFFFFF"/>
          <w:lang w:bidi="ar-SA"/>
        </w:rPr>
        <w:t>单位</w:t>
      </w:r>
      <w:r>
        <w:rPr>
          <w:rFonts w:hint="eastAsia" w:ascii="仿宋_GB2312" w:hAnsi="仿宋_GB2312" w:eastAsia="仿宋_GB2312" w:cs="仿宋_GB2312"/>
          <w:color w:val="000000"/>
          <w:kern w:val="2"/>
          <w:sz w:val="32"/>
          <w:szCs w:val="32"/>
          <w:shd w:val="clear" w:fill="FFFFFF"/>
          <w:lang w:eastAsia="zh-CN" w:bidi="ar-SA"/>
        </w:rPr>
        <w:t>、机关</w:t>
      </w:r>
      <w:r>
        <w:rPr>
          <w:rFonts w:hint="eastAsia" w:ascii="仿宋_GB2312" w:hAnsi="仿宋_GB2312" w:eastAsia="仿宋_GB2312" w:cs="仿宋_GB2312"/>
          <w:color w:val="000000"/>
          <w:kern w:val="2"/>
          <w:sz w:val="32"/>
          <w:szCs w:val="32"/>
          <w:shd w:val="clear" w:fill="FFFFFF"/>
          <w:lang w:val="en-US" w:eastAsia="zh-CN" w:bidi="ar-SA"/>
        </w:rPr>
        <w:t>各处室</w:t>
      </w:r>
      <w:r>
        <w:rPr>
          <w:rFonts w:hint="eastAsia" w:ascii="仿宋_GB2312" w:hAnsi="仿宋_GB2312" w:eastAsia="仿宋_GB2312" w:cs="仿宋_GB2312"/>
          <w:color w:val="000000" w:themeColor="text1"/>
          <w:kern w:val="2"/>
          <w:sz w:val="32"/>
          <w:szCs w:val="32"/>
          <w:shd w:val="clear" w:fill="FFFFFF"/>
          <w:lang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shd w:val="clear" w:fill="FFFFFF"/>
          <w:lang w:val="en-US" w:eastAsia="zh-CN" w:bidi="ar-SA"/>
          <w14:textFill>
            <w14:solidFill>
              <w14:schemeClr w14:val="tx1"/>
            </w14:solidFill>
          </w14:textFill>
        </w:rPr>
        <w:t>省级各行业协会、产业链产业集群培育机构、公共服务平台、社会智库</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和大企业研究院所可直接推荐；其他单位按照属地原则，报所在市工业和信息化局筛选汇总后向省里推荐。</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w:t>
      </w:r>
      <w:r>
        <w:rPr>
          <w:rFonts w:hint="default"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各市工业和信息化局</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济南市</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青岛市民营经济发展局</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滨州市民营经济发展服务中心</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，每个推荐单位推荐报告成果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数量</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一般</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不超过</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项</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（含）；</w:t>
      </w:r>
      <w:r>
        <w:rPr>
          <w:rFonts w:hint="default"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省化工专项行动办公室，</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省工业和信息化厅</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各直</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属</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、管理</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单位</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、机关</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各处室</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，每个处（室、组）最多可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推荐1项报告成果参评；其他推荐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单位</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每家推荐报告成果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数量</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一般</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不超过</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项</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（含）</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。属于</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同一</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作者或同一调研团队撰写的报告成果只</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推荐1项。</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单位须对</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的政治方向、原创性、规范性，以及是否符合评选资格条件等方面</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进行审核把关。</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4</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单位须指定一名联系人，负责本单位</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材料的统一报送和联络工作。</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七</w:t>
      </w:r>
      <w:r>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t>、评选程序</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一</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推荐</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各</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单位根据</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条件和要求对</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申报参评的报告</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成果进行初审筛选，签署意见并加盖</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单位公章后正式</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二</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审</w:t>
      </w:r>
      <w:r>
        <w:rPr>
          <w:rFonts w:hint="eastAsia"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核</w:t>
      </w: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评选委员会办公室根据</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条件和要求对</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推荐参评的报告</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成果进行资格审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核</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，符合条件者参加评选。</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三</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评选</w:t>
      </w: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评选分初评、复评两个环节。初评评委对参评</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报告</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成果按拟表彰</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优秀报告</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成果数量的150%推荐进入复评，复评评委评出拟表彰</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的优秀报告</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成果并划分等次。</w:t>
      </w:r>
    </w:p>
    <w:p>
      <w:pPr>
        <w:pStyle w:val="10"/>
        <w:keepNext/>
        <w:widowControl w:val="0"/>
        <w:pBdr>
          <w:top w:val="none" w:color="auto" w:sz="0" w:space="0"/>
          <w:left w:val="none" w:color="auto" w:sz="0" w:space="0"/>
          <w:bottom w:val="none" w:color="auto" w:sz="0" w:space="0"/>
          <w:right w:val="none" w:color="auto" w:sz="0" w:space="0"/>
        </w:pBdr>
        <w:spacing w:beforeAutospacing="0" w:afterAutospacing="0" w:line="240" w:lineRule="auto"/>
        <w:ind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四</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表彰</w:t>
      </w:r>
      <w:r>
        <w:rPr>
          <w:rFonts w:hint="default" w:ascii="Times New Roman" w:hAnsi="Times New Roman" w:eastAsia="仿宋" w:cs="Times New Roman"/>
          <w:i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评选委员会办公室将拟表彰</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的优秀报告</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成果名单报省工业和信息化厅批准</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，经社会公示无异议</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后，进行通报表彰。</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Times New Roman" w:hAnsi="Times New Roman" w:eastAsia="仿宋" w:cs="Times New Roman"/>
          <w:i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八</w:t>
      </w:r>
      <w:r>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推荐</w:t>
      </w:r>
      <w:r>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t>材料</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一</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）纸质版材料（</w:t>
      </w: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1份</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1.优秀报告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情况汇总表（见附件2，由</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推荐单位</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填写并加盖</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单位公章）</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2.优秀报告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表（见附件3，</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由</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成果第一作者或完成单位</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填写并加盖</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完成单位</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公章）</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正文（须按附件4《山东省工业和信息化</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领域</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优秀调研</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报告与研究</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成果正文格式及技术标准》</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规范</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提交；纸质版材料应包含作者信息，电子版材料须隐去作者信息）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4.报告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转化应用证明（包括领导肯定性批示、政策文件采用情况等）。</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（二）电子版</w:t>
      </w:r>
      <w:r>
        <w:rPr>
          <w:rFonts w:hint="eastAsia"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推荐</w:t>
      </w: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材料</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1份</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单位须创建1个一级文件夹，命名规范为“报送日期+</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单位全称”（例：“20220105+××市工业和信息化局”）</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2.一级文件夹内须包含：“附件2”及对应数量的二级文件夹。“附件2”的命名规范为“优秀报告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情况汇总表：</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单位全称”；二级文件夹的命名规范为“编号+报告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主标题”（例：“01+关于XX的调研</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报告或研究</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成果”），此编号和报告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主标题须与“附件2”“附件3”中的内容对应一致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3.二级文件夹须包含：“附件3”、报告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正文及其应用证明材料。“附件3”的命名规范为“优秀报告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表：调研</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报告或研究</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成果主标题”；报告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正文的命名规范为“正文：调研</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报告或研究</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成果主标题”（例：“正文：关于XX的调研</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报告或研究</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成果”），要求PDF格式；报告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应用证明材料的命名规范为“报告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主标题+</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证明材料1...2...3</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”，要求PDF格式。</w:t>
      </w:r>
    </w:p>
    <w:p>
      <w:pPr>
        <w:pStyle w:val="10"/>
        <w:keepNext/>
        <w:widowControl w:val="0"/>
        <w:pBdr>
          <w:top w:val="none" w:color="auto" w:sz="0" w:space="0"/>
          <w:left w:val="none" w:color="auto" w:sz="0" w:space="0"/>
          <w:bottom w:val="none" w:color="auto" w:sz="0" w:space="0"/>
          <w:right w:val="none" w:color="auto" w:sz="0" w:space="0"/>
        </w:pBdr>
        <w:spacing w:beforeAutospacing="0" w:afterAutospacing="0" w:line="240" w:lineRule="auto"/>
        <w:ind w:firstLine="640" w:firstLineChars="200"/>
        <w:rPr>
          <w:rFonts w:hint="default" w:ascii="Times New Roman" w:hAnsi="Times New Roman" w:eastAsia="仿宋"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九</w:t>
      </w:r>
      <w:r>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其他事项</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优秀报告成果评选</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活动</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原则上</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每年度开展一次。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集中推荐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时间为每年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月</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份前</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，3月</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份组织专家评审，</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4月</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份公示、</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公布表彰名单。</w:t>
      </w:r>
    </w:p>
    <w:p>
      <w:pPr>
        <w:keepNext/>
        <w:widowControl w:val="0"/>
        <w:ind w:firstLine="0" w:firstLineChars="0"/>
        <w:rPr>
          <w:rFonts w:hint="default" w:ascii="Times New Roman" w:hAnsi="Times New Roman" w:eastAsia="仿宋" w:cs="Times New Roman"/>
          <w:i w:val="0"/>
          <w:caps w:val="0"/>
          <w:color w:val="000000" w:themeColor="text1"/>
          <w:spacing w:val="0"/>
          <w:sz w:val="32"/>
          <w:szCs w:val="32"/>
          <w:shd w:val="clear" w:fill="FFFFFF"/>
          <w:lang w:val="en-US" w:eastAsia="zh-CN"/>
          <w14:textFill>
            <w14:solidFill>
              <w14:schemeClr w14:val="tx1"/>
            </w14:solidFill>
          </w14:textFill>
        </w:rPr>
      </w:pPr>
    </w:p>
    <w:p>
      <w:pPr>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4174477"/>
      <w:docPartObj>
        <w:docPartGallery w:val="autotext"/>
      </w:docPartObj>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3F"/>
    <w:rsid w:val="00015B3F"/>
    <w:rsid w:val="00062339"/>
    <w:rsid w:val="000A409C"/>
    <w:rsid w:val="000F048B"/>
    <w:rsid w:val="00111958"/>
    <w:rsid w:val="00144F1D"/>
    <w:rsid w:val="0016595B"/>
    <w:rsid w:val="001E62F7"/>
    <w:rsid w:val="00225BAF"/>
    <w:rsid w:val="00255EF3"/>
    <w:rsid w:val="00301A9B"/>
    <w:rsid w:val="003079A9"/>
    <w:rsid w:val="00371715"/>
    <w:rsid w:val="004005A1"/>
    <w:rsid w:val="004138AD"/>
    <w:rsid w:val="004450AE"/>
    <w:rsid w:val="00464391"/>
    <w:rsid w:val="0047526F"/>
    <w:rsid w:val="005167E8"/>
    <w:rsid w:val="00560F1A"/>
    <w:rsid w:val="006867D7"/>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6EE"/>
    <w:rsid w:val="00973F09"/>
    <w:rsid w:val="009D294F"/>
    <w:rsid w:val="00A05DA4"/>
    <w:rsid w:val="00A72AEF"/>
    <w:rsid w:val="00A95640"/>
    <w:rsid w:val="00AD550D"/>
    <w:rsid w:val="00AE45CB"/>
    <w:rsid w:val="00C27650"/>
    <w:rsid w:val="00C63501"/>
    <w:rsid w:val="00C766CC"/>
    <w:rsid w:val="00C96551"/>
    <w:rsid w:val="00CC7404"/>
    <w:rsid w:val="00CF1D52"/>
    <w:rsid w:val="00D170CE"/>
    <w:rsid w:val="00DC7ABB"/>
    <w:rsid w:val="00DF429C"/>
    <w:rsid w:val="00E42B09"/>
    <w:rsid w:val="00E47BE9"/>
    <w:rsid w:val="00E67C86"/>
    <w:rsid w:val="00E77818"/>
    <w:rsid w:val="00FA7A76"/>
    <w:rsid w:val="00FC3238"/>
    <w:rsid w:val="00FD178A"/>
    <w:rsid w:val="00FE0AE6"/>
    <w:rsid w:val="01C04E4F"/>
    <w:rsid w:val="06FE4050"/>
    <w:rsid w:val="07CA335B"/>
    <w:rsid w:val="091302AF"/>
    <w:rsid w:val="147470FC"/>
    <w:rsid w:val="1D2C197F"/>
    <w:rsid w:val="1ED00A6F"/>
    <w:rsid w:val="211D0BDF"/>
    <w:rsid w:val="22EE9297"/>
    <w:rsid w:val="28E052C6"/>
    <w:rsid w:val="2B3A08A4"/>
    <w:rsid w:val="35677909"/>
    <w:rsid w:val="35A04BBF"/>
    <w:rsid w:val="3D0026BE"/>
    <w:rsid w:val="3DF40390"/>
    <w:rsid w:val="3E265E94"/>
    <w:rsid w:val="3FDB7C09"/>
    <w:rsid w:val="418039C6"/>
    <w:rsid w:val="41FF1C3F"/>
    <w:rsid w:val="42745BF2"/>
    <w:rsid w:val="56163FF5"/>
    <w:rsid w:val="59E047B8"/>
    <w:rsid w:val="5B2F2F6A"/>
    <w:rsid w:val="5D674389"/>
    <w:rsid w:val="6127036A"/>
    <w:rsid w:val="625A5492"/>
    <w:rsid w:val="66D90F0D"/>
    <w:rsid w:val="6EF90C66"/>
    <w:rsid w:val="72737B91"/>
    <w:rsid w:val="74A956B1"/>
    <w:rsid w:val="794E491F"/>
    <w:rsid w:val="7E225537"/>
    <w:rsid w:val="7FFB95E4"/>
    <w:rsid w:val="DD5E776E"/>
    <w:rsid w:val="E73DFE7E"/>
    <w:rsid w:val="F8756268"/>
    <w:rsid w:val="F9A6DEAD"/>
    <w:rsid w:val="FBDD6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val="0"/>
      <w:spacing w:before="100" w:beforeAutospacing="1" w:after="100" w:afterAutospacing="1"/>
      <w:ind w:left="0" w:right="0"/>
      <w:jc w:val="left"/>
    </w:pPr>
    <w:rPr>
      <w:rFonts w:ascii="宋体" w:hAnsi="宋体" w:eastAsia="宋体" w:cs="宋体"/>
      <w:b/>
      <w:bCs/>
      <w:kern w:val="44"/>
      <w:sz w:val="48"/>
      <w:szCs w:val="48"/>
      <w:lang w:val="en-US" w:eastAsia="zh-CN"/>
    </w:rPr>
  </w:style>
  <w:style w:type="paragraph" w:styleId="3">
    <w:name w:val="heading 3"/>
    <w:basedOn w:val="1"/>
    <w:next w:val="1"/>
    <w:link w:val="16"/>
    <w:qFormat/>
    <w:uiPriority w:val="0"/>
    <w:pPr>
      <w:keepNext/>
      <w:keepLines/>
      <w:widowControl w:val="0"/>
      <w:spacing w:before="260" w:after="260" w:line="412" w:lineRule="auto"/>
      <w:ind w:left="0" w:right="0"/>
      <w:jc w:val="both"/>
      <w:outlineLvl w:val="2"/>
    </w:pPr>
    <w:rPr>
      <w:rFonts w:ascii="Times New Roman" w:hAnsi="Times New Roman" w:eastAsia="仿宋_GB2312" w:cs="Times New Roman"/>
      <w:b/>
      <w:bCs/>
      <w:kern w:val="2"/>
      <w:sz w:val="32"/>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widowControl w:val="0"/>
      <w:spacing w:after="0"/>
      <w:jc w:val="both"/>
    </w:pPr>
    <w:rPr>
      <w:rFonts w:ascii="Calibri" w:hAnsi="Calibri" w:eastAsia="仿宋_GB2312" w:cs="Times New Roman"/>
      <w:kern w:val="2"/>
      <w:sz w:val="30"/>
      <w:szCs w:val="24"/>
      <w:lang w:val="en-US" w:eastAsia="zh-CN" w:bidi="ar-SA"/>
    </w:rPr>
  </w:style>
  <w:style w:type="paragraph" w:styleId="5">
    <w:name w:val="Body Text First Indent 2"/>
    <w:basedOn w:val="6"/>
    <w:next w:val="1"/>
    <w:qFormat/>
    <w:uiPriority w:val="0"/>
    <w:pPr>
      <w:widowControl w:val="0"/>
      <w:spacing w:before="0" w:after="120"/>
      <w:ind w:left="420" w:leftChars="200" w:right="0" w:firstLine="420" w:firstLineChars="200"/>
      <w:jc w:val="both"/>
    </w:pPr>
    <w:rPr>
      <w:rFonts w:ascii="Times New Roman" w:hAnsi="Times New Roman" w:eastAsia="仿宋_GB2312" w:cs="Times New Roman"/>
      <w:kern w:val="2"/>
      <w:sz w:val="32"/>
      <w:szCs w:val="24"/>
      <w:lang w:val="en-US" w:eastAsia="zh-CN" w:bidi="ar-SA"/>
    </w:rPr>
  </w:style>
  <w:style w:type="paragraph" w:styleId="6">
    <w:name w:val="Body Text Indent"/>
    <w:basedOn w:val="1"/>
    <w:qFormat/>
    <w:uiPriority w:val="0"/>
    <w:pPr>
      <w:widowControl w:val="0"/>
      <w:spacing w:before="0" w:after="120"/>
      <w:ind w:left="420" w:leftChars="200" w:right="0"/>
      <w:jc w:val="both"/>
    </w:pPr>
    <w:rPr>
      <w:rFonts w:ascii="Times New Roman" w:hAnsi="Times New Roman" w:eastAsia="仿宋_GB2312" w:cs="Times New Roman"/>
      <w:kern w:val="2"/>
      <w:sz w:val="32"/>
      <w:szCs w:val="24"/>
      <w:lang w:val="en-US" w:eastAsia="zh-CN" w:bidi="ar-SA"/>
    </w:rPr>
  </w:style>
  <w:style w:type="paragraph" w:styleId="7">
    <w:name w:val="Plain Text"/>
    <w:basedOn w:val="1"/>
    <w:qFormat/>
    <w:uiPriority w:val="0"/>
    <w:rPr>
      <w:rFonts w:ascii="宋体" w:hAnsi="Courier New" w:cs="Courier New"/>
      <w:szCs w:val="21"/>
    </w:rPr>
  </w:style>
  <w:style w:type="paragraph" w:styleId="8">
    <w:name w:val="footer"/>
    <w:basedOn w:val="1"/>
    <w:link w:val="15"/>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rFonts w:ascii="Calibri" w:hAnsi="Calibri" w:eastAsia="宋体" w:cs="Times New Roman"/>
      <w:i/>
    </w:rPr>
  </w:style>
  <w:style w:type="character" w:customStyle="1" w:styleId="15">
    <w:name w:val="页脚 Char"/>
    <w:basedOn w:val="13"/>
    <w:link w:val="8"/>
    <w:qFormat/>
    <w:uiPriority w:val="99"/>
    <w:rPr>
      <w:kern w:val="2"/>
      <w:sz w:val="18"/>
      <w:szCs w:val="18"/>
    </w:rPr>
  </w:style>
  <w:style w:type="character" w:customStyle="1" w:styleId="16">
    <w:name w:val="标题 3 Char1"/>
    <w:link w:val="3"/>
    <w:qFormat/>
    <w:uiPriority w:val="0"/>
    <w:rPr>
      <w:rFonts w:ascii="Times New Roman" w:hAnsi="Times New Roman" w:eastAsia="仿宋_GB2312" w:cs="Times New Roman"/>
      <w:b/>
      <w:bCs/>
      <w:kern w:val="2"/>
      <w:sz w:val="32"/>
      <w:szCs w:val="24"/>
      <w:lang w:val="en-US" w:eastAsia="zh-CN" w:bidi="ar-SA"/>
    </w:rPr>
  </w:style>
  <w:style w:type="paragraph" w:customStyle="1" w:styleId="17">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13</Words>
  <Characters>79</Characters>
  <Lines>1</Lines>
  <Paragraphs>1</Paragraphs>
  <TotalTime>1</TotalTime>
  <ScaleCrop>false</ScaleCrop>
  <LinksUpToDate>false</LinksUpToDate>
  <CharactersWithSpaces>91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2020-11-12T08:08:00Z</dcterms:created>
  <dc:creator>刘超</dc:creator>
  <cp:lastModifiedBy>user</cp:lastModifiedBy>
  <cp:lastPrinted>2020-11-12T08:51:00Z</cp:lastPrinted>
  <dcterms:modified xsi:type="dcterms:W3CDTF">2022-01-11T16:22:38Z</dcterms:modified>
  <dc:title>山东省工业和信息化厅文件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