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附件1</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u w:val="none"/>
        </w:rPr>
      </w:pPr>
    </w:p>
    <w:p>
      <w:pPr>
        <w:adjustRightInd/>
        <w:snapToGrid w:val="0"/>
        <w:spacing w:line="560" w:lineRule="exact"/>
        <w:ind w:firstLine="0"/>
        <w:jc w:val="center"/>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山东省化肥氯碱行业产能置换实施办法</w:t>
      </w:r>
    </w:p>
    <w:p>
      <w:pPr>
        <w:adjustRightInd w:val="0"/>
        <w:snapToGrid w:val="0"/>
        <w:spacing w:line="560" w:lineRule="exact"/>
        <w:ind w:firstLine="640" w:firstLineChars="200"/>
        <w:rPr>
          <w:rFonts w:ascii="黑体" w:hAnsi="黑体" w:eastAsia="黑体" w:cs="黑体"/>
          <w:color w:val="333333"/>
          <w:sz w:val="32"/>
          <w:szCs w:val="32"/>
          <w:u w:val="none"/>
        </w:rPr>
      </w:pPr>
    </w:p>
    <w:p>
      <w:pPr>
        <w:adjustRightInd w:val="0"/>
        <w:snapToGrid w:val="0"/>
        <w:spacing w:line="560" w:lineRule="exact"/>
        <w:ind w:firstLine="0" w:firstLineChars="0"/>
        <w:jc w:val="center"/>
        <w:rPr>
          <w:rFonts w:hint="eastAsia" w:ascii="黑体" w:hAnsi="黑体" w:eastAsia="黑体" w:cs="黑体"/>
          <w:color w:val="333333"/>
          <w:sz w:val="32"/>
          <w:szCs w:val="32"/>
        </w:rPr>
      </w:pPr>
      <w:r>
        <w:rPr>
          <w:rFonts w:hint="eastAsia" w:ascii="黑体" w:hAnsi="黑体" w:eastAsia="黑体" w:cs="黑体"/>
          <w:color w:val="333333"/>
          <w:sz w:val="32"/>
          <w:szCs w:val="32"/>
          <w:lang w:eastAsia="zh-CN"/>
        </w:rPr>
        <w:t>总</w:t>
      </w:r>
      <w:r>
        <w:rPr>
          <w:rFonts w:hint="eastAsia" w:ascii="黑体" w:hAnsi="黑体" w:eastAsia="黑体" w:cs="黑体"/>
          <w:color w:val="333333"/>
          <w:sz w:val="32"/>
          <w:szCs w:val="32"/>
          <w:lang w:val="en-US" w:eastAsia="zh-CN"/>
        </w:rPr>
        <w:t xml:space="preserve">    </w:t>
      </w:r>
      <w:r>
        <w:rPr>
          <w:rFonts w:hint="eastAsia" w:ascii="黑体" w:hAnsi="黑体" w:eastAsia="黑体" w:cs="黑体"/>
          <w:color w:val="333333"/>
          <w:sz w:val="32"/>
          <w:szCs w:val="32"/>
          <w:lang w:eastAsia="zh-CN"/>
        </w:rPr>
        <w:t>则</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333333"/>
          <w:sz w:val="32"/>
          <w:szCs w:val="32"/>
        </w:rPr>
        <w:t xml:space="preserve">第一条 </w:t>
      </w:r>
      <w:r>
        <w:rPr>
          <w:rFonts w:hint="eastAsia" w:ascii="仿宋_GB2312" w:hAnsi="黑体" w:eastAsia="仿宋_GB2312" w:cs="黑体"/>
          <w:color w:val="333333"/>
          <w:sz w:val="32"/>
          <w:szCs w:val="32"/>
        </w:rPr>
        <w:t xml:space="preserve"> </w:t>
      </w:r>
      <w:r>
        <w:rPr>
          <w:rFonts w:hint="eastAsia" w:ascii="仿宋_GB2312" w:hAnsi="华文仿宋" w:eastAsia="仿宋_GB2312" w:cs="华文仿宋"/>
          <w:color w:val="333333"/>
          <w:sz w:val="32"/>
          <w:szCs w:val="32"/>
        </w:rPr>
        <w:t>为</w:t>
      </w:r>
      <w:r>
        <w:rPr>
          <w:rFonts w:hint="eastAsia" w:ascii="仿宋_GB2312" w:hAnsi="仿宋_GB2312" w:eastAsia="仿宋_GB2312" w:cs="仿宋_GB2312"/>
          <w:color w:val="000000"/>
          <w:sz w:val="32"/>
          <w:szCs w:val="32"/>
          <w:lang w:val="en-US" w:eastAsia="zh-CN"/>
        </w:rPr>
        <w:t>进一步</w:t>
      </w:r>
      <w:r>
        <w:rPr>
          <w:rFonts w:hint="eastAsia" w:ascii="仿宋_GB2312" w:hAnsi="仿宋_GB2312" w:eastAsia="仿宋_GB2312" w:cs="仿宋_GB2312"/>
          <w:color w:val="000000"/>
          <w:sz w:val="32"/>
          <w:szCs w:val="32"/>
        </w:rPr>
        <w:t>优化</w:t>
      </w:r>
      <w:r>
        <w:rPr>
          <w:rFonts w:hint="eastAsia" w:ascii="仿宋_GB2312" w:hAnsi="仿宋_GB2312" w:eastAsia="仿宋_GB2312" w:cs="仿宋_GB2312"/>
          <w:color w:val="000000"/>
          <w:sz w:val="32"/>
          <w:szCs w:val="32"/>
          <w:lang w:val="en-US" w:eastAsia="zh-CN"/>
        </w:rPr>
        <w:t>化肥、氯碱</w:t>
      </w:r>
      <w:r>
        <w:rPr>
          <w:rFonts w:hint="eastAsia" w:ascii="仿宋_GB2312" w:hAnsi="仿宋_GB2312" w:eastAsia="仿宋_GB2312" w:cs="仿宋_GB2312"/>
          <w:color w:val="000000"/>
          <w:sz w:val="32"/>
          <w:szCs w:val="32"/>
        </w:rPr>
        <w:t>行业布局，规范产能置换管理，加快推动</w:t>
      </w:r>
      <w:r>
        <w:rPr>
          <w:rFonts w:hint="eastAsia" w:ascii="仿宋_GB2312" w:hAnsi="仿宋_GB2312" w:eastAsia="仿宋_GB2312" w:cs="仿宋_GB2312"/>
          <w:color w:val="000000"/>
          <w:sz w:val="32"/>
          <w:szCs w:val="32"/>
          <w:lang w:val="en-US" w:eastAsia="zh-CN"/>
        </w:rPr>
        <w:t>高耗能行业</w:t>
      </w:r>
      <w:r>
        <w:rPr>
          <w:rFonts w:hint="eastAsia" w:ascii="仿宋_GB2312" w:hAnsi="仿宋_GB2312" w:eastAsia="仿宋_GB2312" w:cs="仿宋_GB2312"/>
          <w:color w:val="000000"/>
          <w:sz w:val="32"/>
          <w:szCs w:val="32"/>
        </w:rPr>
        <w:t>高质量发展，</w:t>
      </w:r>
      <w:r>
        <w:rPr>
          <w:rFonts w:hint="eastAsia" w:ascii="仿宋_GB2312" w:hAnsi="仿宋_GB2312" w:eastAsia="仿宋_GB2312" w:cs="仿宋_GB2312"/>
          <w:color w:val="000000"/>
          <w:sz w:val="32"/>
          <w:szCs w:val="32"/>
          <w:lang w:val="en-US" w:eastAsia="zh-CN"/>
        </w:rPr>
        <w:t>根据</w:t>
      </w:r>
      <w:r>
        <w:rPr>
          <w:rFonts w:hint="eastAsia" w:ascii="仿宋_GB2312" w:hAnsi="仿宋_GB2312" w:eastAsia="仿宋_GB2312" w:cs="仿宋_GB2312"/>
          <w:b w:val="0"/>
          <w:bCs w:val="0"/>
          <w:color w:val="000000"/>
          <w:sz w:val="32"/>
          <w:szCs w:val="32"/>
          <w:lang w:eastAsia="zh-CN"/>
        </w:rPr>
        <w:t>山东省人民政府办公厅</w:t>
      </w:r>
      <w:r>
        <w:rPr>
          <w:rFonts w:hint="eastAsia" w:ascii="仿宋_GB2312" w:hAnsi="仿宋_GB2312" w:eastAsia="仿宋_GB2312" w:cs="仿宋_GB2312"/>
          <w:color w:val="000000"/>
          <w:sz w:val="32"/>
          <w:szCs w:val="32"/>
        </w:rPr>
        <w:t>《关于进一步规范产能过剩和高耗能行业工业投资项目办理加强事中事后监管工作的通知》（鲁政办字〔2020〕40号）和</w:t>
      </w:r>
      <w:r>
        <w:rPr>
          <w:rFonts w:hint="eastAsia" w:ascii="仿宋_GB2312" w:hAnsi="仿宋_GB2312" w:eastAsia="仿宋_GB2312" w:cs="仿宋_GB2312"/>
          <w:b w:val="0"/>
          <w:bCs w:val="0"/>
          <w:color w:val="000000"/>
          <w:sz w:val="32"/>
          <w:szCs w:val="32"/>
          <w:lang w:eastAsia="zh-CN"/>
        </w:rPr>
        <w:t>《关于加强“两高”项目管理的通知》（鲁政办字〔2021〕57号）</w:t>
      </w:r>
      <w:r>
        <w:rPr>
          <w:rFonts w:hint="eastAsia" w:ascii="仿宋_GB2312" w:hAnsi="仿宋_GB2312" w:eastAsia="仿宋_GB2312" w:cs="仿宋_GB2312"/>
          <w:b w:val="0"/>
          <w:bCs w:val="0"/>
          <w:color w:val="000000"/>
          <w:sz w:val="32"/>
          <w:szCs w:val="32"/>
          <w:lang w:val="en-US" w:eastAsia="zh-CN"/>
        </w:rPr>
        <w:t>等有关</w:t>
      </w:r>
      <w:r>
        <w:rPr>
          <w:rFonts w:hint="eastAsia" w:ascii="仿宋_GB2312" w:hAnsi="仿宋_GB2312" w:eastAsia="仿宋_GB2312" w:cs="仿宋_GB2312"/>
          <w:color w:val="000000"/>
          <w:sz w:val="32"/>
          <w:szCs w:val="32"/>
          <w:lang w:val="en-US" w:eastAsia="zh-CN"/>
        </w:rPr>
        <w:t>规定</w:t>
      </w:r>
      <w:r>
        <w:rPr>
          <w:rFonts w:hint="eastAsia" w:ascii="仿宋_GB2312" w:hAnsi="仿宋_GB2312" w:eastAsia="仿宋_GB2312" w:cs="仿宋_GB2312"/>
          <w:color w:val="000000"/>
          <w:sz w:val="32"/>
          <w:szCs w:val="32"/>
        </w:rPr>
        <w:t>，制定本办法。</w:t>
      </w:r>
    </w:p>
    <w:p>
      <w:pPr>
        <w:widowControl/>
        <w:adjustRightInd w:val="0"/>
        <w:snapToGrid w:val="0"/>
        <w:spacing w:line="560" w:lineRule="exact"/>
        <w:ind w:firstLine="640" w:firstLineChars="200"/>
        <w:jc w:val="left"/>
        <w:rPr>
          <w:rFonts w:hint="eastAsia" w:ascii="黑体" w:hAnsi="黑体" w:eastAsia="黑体" w:cs="黑体"/>
          <w:b w:val="0"/>
          <w:bCs w:val="0"/>
          <w:color w:val="333333"/>
          <w:sz w:val="32"/>
          <w:szCs w:val="32"/>
          <w:vertAlign w:val="baseline"/>
          <w:lang w:val="en-US" w:eastAsia="zh-CN"/>
        </w:rPr>
      </w:pPr>
      <w:r>
        <w:rPr>
          <w:rFonts w:hint="eastAsia" w:ascii="黑体" w:hAnsi="黑体" w:eastAsia="黑体" w:cs="黑体"/>
          <w:color w:val="333333"/>
          <w:sz w:val="32"/>
          <w:szCs w:val="32"/>
        </w:rPr>
        <w:t>第二条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highlight w:val="none"/>
        </w:rPr>
        <w:t>本办法适用于山东省境内</w:t>
      </w:r>
      <w:r>
        <w:rPr>
          <w:rFonts w:ascii="仿宋_GB2312" w:hAnsi="仿宋_GB2312" w:eastAsia="仿宋_GB2312" w:cs="仿宋_GB2312"/>
          <w:color w:val="000000"/>
          <w:sz w:val="32"/>
          <w:szCs w:val="32"/>
          <w:highlight w:val="none"/>
        </w:rPr>
        <w:t>化肥</w:t>
      </w:r>
      <w:r>
        <w:rPr>
          <w:rFonts w:hint="eastAsia" w:ascii="仿宋_GB2312" w:hAnsi="仿宋_GB2312" w:eastAsia="仿宋_GB2312" w:cs="仿宋_GB2312"/>
          <w:color w:val="000000"/>
          <w:sz w:val="32"/>
          <w:szCs w:val="32"/>
          <w:highlight w:val="none"/>
          <w:lang w:eastAsia="zh-CN"/>
        </w:rPr>
        <w:t>、</w:t>
      </w:r>
      <w:r>
        <w:rPr>
          <w:rFonts w:ascii="仿宋_GB2312" w:hAnsi="仿宋_GB2312" w:eastAsia="仿宋_GB2312" w:cs="仿宋_GB2312"/>
          <w:color w:val="000000"/>
          <w:sz w:val="32"/>
          <w:szCs w:val="32"/>
          <w:highlight w:val="none"/>
        </w:rPr>
        <w:t>氯碱</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烧碱</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行业</w:t>
      </w:r>
      <w:r>
        <w:rPr>
          <w:rFonts w:hint="eastAsia" w:ascii="仿宋_GB2312" w:hAnsi="仿宋_GB2312" w:eastAsia="仿宋_GB2312" w:cs="仿宋_GB2312"/>
          <w:color w:val="000000"/>
          <w:sz w:val="32"/>
          <w:szCs w:val="32"/>
          <w:highlight w:val="none"/>
          <w:lang w:eastAsia="zh-CN"/>
        </w:rPr>
        <w:t>新建和</w:t>
      </w:r>
      <w:r>
        <w:rPr>
          <w:rFonts w:hint="eastAsia" w:ascii="仿宋_GB2312" w:hAnsi="仿宋_GB2312" w:eastAsia="仿宋_GB2312" w:cs="仿宋_GB2312"/>
          <w:color w:val="auto"/>
          <w:sz w:val="32"/>
          <w:szCs w:val="32"/>
          <w:highlight w:val="none"/>
          <w:lang w:eastAsia="zh-CN"/>
        </w:rPr>
        <w:t>改</w:t>
      </w:r>
      <w:r>
        <w:rPr>
          <w:rFonts w:hint="eastAsia" w:ascii="仿宋_GB2312" w:hAnsi="仿宋_GB2312" w:eastAsia="仿宋_GB2312" w:cs="仿宋_GB2312"/>
          <w:color w:val="auto"/>
          <w:sz w:val="32"/>
          <w:szCs w:val="32"/>
          <w:highlight w:val="none"/>
        </w:rPr>
        <w:t>扩建</w:t>
      </w:r>
      <w:r>
        <w:rPr>
          <w:rFonts w:hint="eastAsia" w:ascii="仿宋_GB2312" w:hAnsi="仿宋_GB2312" w:eastAsia="仿宋_GB2312" w:cs="仿宋_GB2312"/>
          <w:color w:val="000000"/>
          <w:sz w:val="32"/>
          <w:szCs w:val="32"/>
          <w:highlight w:val="none"/>
          <w:lang w:val="en-US" w:eastAsia="zh-CN"/>
        </w:rPr>
        <w:t>项目</w:t>
      </w:r>
      <w:r>
        <w:rPr>
          <w:rFonts w:hint="eastAsia" w:ascii="仿宋_GB2312" w:hAnsi="仿宋_GB2312" w:eastAsia="仿宋_GB2312" w:cs="仿宋_GB2312"/>
          <w:color w:val="000000"/>
          <w:sz w:val="32"/>
          <w:szCs w:val="32"/>
          <w:highlight w:val="none"/>
        </w:rPr>
        <w:t>产能置换</w:t>
      </w:r>
      <w:r>
        <w:rPr>
          <w:rFonts w:hint="eastAsia" w:ascii="仿宋_GB2312" w:hAnsi="仿宋_GB2312" w:eastAsia="仿宋_GB2312" w:cs="仿宋_GB2312"/>
          <w:color w:val="000000"/>
          <w:sz w:val="32"/>
          <w:szCs w:val="32"/>
          <w:highlight w:val="none"/>
          <w:lang w:eastAsia="zh-CN"/>
        </w:rPr>
        <w:t>。其中，化肥</w:t>
      </w:r>
      <w:r>
        <w:rPr>
          <w:rFonts w:hint="eastAsia" w:ascii="仿宋_GB2312" w:hAnsi="仿宋_GB2312" w:eastAsia="仿宋_GB2312" w:cs="仿宋_GB2312"/>
          <w:color w:val="000000"/>
          <w:sz w:val="32"/>
          <w:szCs w:val="32"/>
          <w:highlight w:val="none"/>
          <w:lang w:val="en-US" w:eastAsia="zh-CN"/>
        </w:rPr>
        <w:t>行业包括</w:t>
      </w:r>
      <w:r>
        <w:rPr>
          <w:rFonts w:hint="eastAsia" w:ascii="仿宋_GB2312" w:hAnsi="仿宋_GB2312" w:eastAsia="仿宋_GB2312" w:cs="仿宋_GB2312"/>
          <w:b w:val="0"/>
          <w:bCs w:val="0"/>
          <w:sz w:val="32"/>
          <w:vertAlign w:val="baseline"/>
          <w:lang w:val="en-US" w:eastAsia="zh-CN"/>
        </w:rPr>
        <w:t>尿素、磷酸一铵、磷酸二铵</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color w:val="000000"/>
          <w:sz w:val="32"/>
          <w:szCs w:val="32"/>
          <w:highlight w:val="none"/>
          <w:lang w:val="en-US" w:eastAsia="zh-CN"/>
        </w:rPr>
        <w:t>以及用于化肥生产的</w:t>
      </w:r>
      <w:r>
        <w:rPr>
          <w:rFonts w:hint="eastAsia" w:ascii="仿宋_GB2312" w:hAnsi="仿宋_GB2312" w:eastAsia="仿宋_GB2312" w:cs="仿宋_GB2312"/>
          <w:b w:val="0"/>
          <w:bCs w:val="0"/>
          <w:sz w:val="32"/>
          <w:vertAlign w:val="baseline"/>
          <w:lang w:val="en-US" w:eastAsia="zh-CN"/>
        </w:rPr>
        <w:t>合成氨。</w:t>
      </w:r>
    </w:p>
    <w:p>
      <w:pPr>
        <w:adjustRightInd w:val="0"/>
        <w:snapToGrid w:val="0"/>
        <w:spacing w:line="560" w:lineRule="exact"/>
        <w:ind w:firstLine="640" w:firstLineChars="200"/>
        <w:rPr>
          <w:rFonts w:ascii="仿宋_GB2312" w:hAnsi="仿宋_GB2312" w:eastAsia="仿宋_GB2312" w:cs="仿宋_GB2312"/>
          <w:color w:val="FF0000"/>
          <w:sz w:val="32"/>
          <w:szCs w:val="32"/>
        </w:rPr>
      </w:pPr>
      <w:r>
        <w:rPr>
          <w:rFonts w:hint="eastAsia" w:ascii="黑体" w:hAnsi="黑体" w:eastAsia="黑体" w:cs="黑体"/>
          <w:color w:val="333333"/>
          <w:sz w:val="32"/>
          <w:szCs w:val="32"/>
        </w:rPr>
        <w:t>第</w:t>
      </w:r>
      <w:r>
        <w:rPr>
          <w:rFonts w:hint="eastAsia" w:ascii="黑体" w:hAnsi="黑体" w:eastAsia="黑体" w:cs="黑体"/>
          <w:color w:val="333333"/>
          <w:sz w:val="32"/>
          <w:szCs w:val="32"/>
          <w:lang w:eastAsia="zh-CN"/>
        </w:rPr>
        <w:t>三</w:t>
      </w:r>
      <w:r>
        <w:rPr>
          <w:rFonts w:hint="eastAsia" w:ascii="黑体" w:hAnsi="黑体" w:eastAsia="黑体" w:cs="黑体"/>
          <w:color w:val="333333"/>
          <w:sz w:val="32"/>
          <w:szCs w:val="32"/>
        </w:rPr>
        <w:t xml:space="preserve">条  </w:t>
      </w:r>
      <w:r>
        <w:rPr>
          <w:rFonts w:hint="eastAsia" w:ascii="仿宋_GB2312" w:hAnsi="仿宋_GB2312" w:eastAsia="仿宋_GB2312" w:cs="仿宋_GB2312"/>
          <w:color w:val="000000"/>
          <w:sz w:val="32"/>
          <w:szCs w:val="32"/>
        </w:rPr>
        <w:t>各级工业和信息化部门负责产能置换的组织实施和监督管理；发展改革、自然资源、生态环境、应急管理、行政审批等部门按照各自职能负责产能置换的相关工作。</w:t>
      </w:r>
    </w:p>
    <w:p>
      <w:pPr>
        <w:widowControl/>
        <w:adjustRightInd w:val="0"/>
        <w:snapToGrid w:val="0"/>
        <w:spacing w:line="560" w:lineRule="exact"/>
        <w:ind w:firstLine="0" w:firstLineChars="0"/>
        <w:jc w:val="center"/>
        <w:rPr>
          <w:rFonts w:hint="eastAsia" w:ascii="黑体" w:hAnsi="黑体" w:eastAsia="黑体" w:cs="黑体"/>
          <w:color w:val="333333"/>
          <w:sz w:val="32"/>
          <w:szCs w:val="32"/>
        </w:rPr>
      </w:pPr>
      <w:r>
        <w:rPr>
          <w:rFonts w:hint="eastAsia" w:ascii="黑体" w:hAnsi="黑体" w:eastAsia="黑体" w:cs="黑体"/>
          <w:b w:val="0"/>
          <w:bCs w:val="0"/>
          <w:color w:val="333333"/>
          <w:sz w:val="32"/>
          <w:szCs w:val="32"/>
          <w:vertAlign w:val="baseline"/>
          <w:lang w:val="en-US" w:eastAsia="zh-CN"/>
        </w:rPr>
        <w:t>第一章  置换条件</w:t>
      </w:r>
    </w:p>
    <w:p>
      <w:pPr>
        <w:widowControl/>
        <w:adjustRightInd w:val="0"/>
        <w:snapToGrid w:val="0"/>
        <w:spacing w:line="560" w:lineRule="exact"/>
        <w:ind w:firstLine="640" w:firstLineChars="200"/>
        <w:rPr>
          <w:rFonts w:hint="eastAsia" w:ascii="仿宋_GB2312" w:hAnsi="仿宋_GB2312" w:eastAsia="仿宋_GB2312" w:cs="仿宋_GB2312"/>
          <w:b/>
          <w:bCs/>
          <w:color w:val="auto"/>
          <w:sz w:val="32"/>
          <w:szCs w:val="32"/>
          <w:lang w:eastAsia="zh-CN"/>
        </w:rPr>
      </w:pPr>
      <w:r>
        <w:rPr>
          <w:rFonts w:hint="eastAsia" w:ascii="黑体" w:hAnsi="黑体" w:eastAsia="黑体" w:cs="黑体"/>
          <w:color w:val="333333"/>
          <w:sz w:val="32"/>
          <w:szCs w:val="32"/>
        </w:rPr>
        <w:t>第</w:t>
      </w:r>
      <w:r>
        <w:rPr>
          <w:rFonts w:hint="eastAsia" w:ascii="黑体" w:hAnsi="黑体" w:eastAsia="黑体" w:cs="黑体"/>
          <w:color w:val="333333"/>
          <w:sz w:val="32"/>
          <w:szCs w:val="32"/>
          <w:lang w:eastAsia="zh-CN"/>
        </w:rPr>
        <w:t>四</w:t>
      </w:r>
      <w:r>
        <w:rPr>
          <w:rFonts w:hint="eastAsia" w:ascii="黑体" w:hAnsi="黑体" w:eastAsia="黑体" w:cs="黑体"/>
          <w:color w:val="333333"/>
          <w:sz w:val="32"/>
          <w:szCs w:val="32"/>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000000"/>
          <w:sz w:val="32"/>
          <w:szCs w:val="32"/>
        </w:rPr>
        <w:t>产能置换以企业为主体，坚持自愿协商、市场化运作。</w:t>
      </w:r>
      <w:r>
        <w:rPr>
          <w:rFonts w:hint="eastAsia" w:ascii="仿宋_GB2312" w:hAnsi="仿宋_GB2312" w:eastAsia="仿宋_GB2312" w:cs="仿宋_GB2312"/>
          <w:color w:val="000000"/>
          <w:sz w:val="32"/>
          <w:szCs w:val="32"/>
          <w:highlight w:val="none"/>
        </w:rPr>
        <w:t>建设项目</w:t>
      </w:r>
      <w:r>
        <w:rPr>
          <w:rFonts w:hint="eastAsia" w:ascii="仿宋_GB2312" w:hAnsi="仿宋_GB2312" w:eastAsia="仿宋_GB2312" w:cs="仿宋_GB2312"/>
          <w:color w:val="000000"/>
          <w:sz w:val="32"/>
          <w:szCs w:val="32"/>
          <w:highlight w:val="none"/>
          <w:lang w:eastAsia="zh-CN"/>
        </w:rPr>
        <w:t>可采取</w:t>
      </w:r>
      <w:r>
        <w:rPr>
          <w:rFonts w:hint="eastAsia" w:ascii="仿宋_GB2312" w:hAnsi="仿宋_GB2312" w:eastAsia="仿宋_GB2312" w:cs="仿宋_GB2312"/>
          <w:color w:val="000000"/>
          <w:sz w:val="32"/>
          <w:szCs w:val="32"/>
          <w:highlight w:val="none"/>
        </w:rPr>
        <w:t>企业集团内部</w:t>
      </w:r>
      <w:r>
        <w:rPr>
          <w:rFonts w:hint="eastAsia" w:ascii="仿宋_GB2312" w:hAnsi="仿宋_GB2312" w:eastAsia="仿宋_GB2312" w:cs="仿宋_GB2312"/>
          <w:color w:val="000000"/>
          <w:sz w:val="32"/>
          <w:szCs w:val="32"/>
          <w:highlight w:val="none"/>
          <w:lang w:val="en-US" w:eastAsia="zh-CN"/>
        </w:rPr>
        <w:t>的</w:t>
      </w:r>
      <w:r>
        <w:rPr>
          <w:rFonts w:hint="eastAsia" w:ascii="仿宋_GB2312" w:hAnsi="仿宋_GB2312" w:eastAsia="仿宋_GB2312" w:cs="仿宋_GB2312"/>
          <w:color w:val="000000"/>
          <w:sz w:val="32"/>
          <w:szCs w:val="32"/>
          <w:highlight w:val="none"/>
        </w:rPr>
        <w:t>产能转移、</w:t>
      </w:r>
      <w:r>
        <w:rPr>
          <w:rFonts w:hint="eastAsia" w:ascii="仿宋_GB2312" w:hAnsi="仿宋_GB2312" w:eastAsia="仿宋_GB2312" w:cs="仿宋_GB2312"/>
          <w:color w:val="000000"/>
          <w:sz w:val="32"/>
          <w:szCs w:val="32"/>
          <w:highlight w:val="none"/>
          <w:lang w:eastAsia="zh-CN"/>
        </w:rPr>
        <w:t>企业间</w:t>
      </w:r>
      <w:r>
        <w:rPr>
          <w:rFonts w:hint="eastAsia" w:ascii="仿宋_GB2312" w:hAnsi="仿宋_GB2312" w:eastAsia="仿宋_GB2312" w:cs="仿宋_GB2312"/>
          <w:color w:val="000000"/>
          <w:sz w:val="32"/>
          <w:szCs w:val="32"/>
          <w:highlight w:val="none"/>
        </w:rPr>
        <w:t>兼并重组</w:t>
      </w:r>
      <w:r>
        <w:rPr>
          <w:rFonts w:hint="eastAsia" w:ascii="仿宋_GB2312" w:hAnsi="仿宋_GB2312" w:eastAsia="仿宋_GB2312" w:cs="仿宋_GB2312"/>
          <w:color w:val="000000"/>
          <w:sz w:val="32"/>
          <w:szCs w:val="32"/>
          <w:highlight w:val="none"/>
          <w:lang w:eastAsia="zh-CN"/>
        </w:rPr>
        <w:t>和</w:t>
      </w:r>
      <w:r>
        <w:rPr>
          <w:rFonts w:hint="eastAsia" w:ascii="仿宋_GB2312" w:hAnsi="仿宋_GB2312" w:eastAsia="仿宋_GB2312" w:cs="仿宋_GB2312"/>
          <w:color w:val="000000"/>
          <w:sz w:val="32"/>
          <w:szCs w:val="32"/>
          <w:highlight w:val="none"/>
        </w:rPr>
        <w:t>产能指标交易</w:t>
      </w:r>
      <w:r>
        <w:rPr>
          <w:rFonts w:hint="eastAsia" w:ascii="仿宋_GB2312" w:hAnsi="仿宋_GB2312" w:eastAsia="仿宋_GB2312" w:cs="仿宋_GB2312"/>
          <w:color w:val="000000"/>
          <w:sz w:val="32"/>
          <w:szCs w:val="32"/>
          <w:highlight w:val="none"/>
          <w:lang w:eastAsia="zh-CN"/>
        </w:rPr>
        <w:t>等方式</w:t>
      </w:r>
      <w:r>
        <w:rPr>
          <w:rFonts w:hint="eastAsia" w:ascii="仿宋_GB2312" w:hAnsi="仿宋_GB2312" w:eastAsia="仿宋_GB2312" w:cs="仿宋_GB2312"/>
          <w:color w:val="000000"/>
          <w:sz w:val="32"/>
          <w:szCs w:val="32"/>
          <w:highlight w:val="none"/>
          <w:lang w:val="en-US" w:eastAsia="zh-CN"/>
        </w:rPr>
        <w:t>取得</w:t>
      </w:r>
      <w:r>
        <w:rPr>
          <w:rFonts w:hint="eastAsia" w:ascii="仿宋_GB2312" w:hAnsi="仿宋_GB2312" w:eastAsia="仿宋_GB2312" w:cs="仿宋_GB2312"/>
          <w:color w:val="000000"/>
          <w:sz w:val="32"/>
          <w:szCs w:val="32"/>
          <w:highlight w:val="none"/>
        </w:rPr>
        <w:t>产能置换指标。</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黑体" w:hAnsi="黑体" w:eastAsia="黑体" w:cs="黑体"/>
          <w:color w:val="333333"/>
          <w:sz w:val="32"/>
          <w:szCs w:val="32"/>
        </w:rPr>
        <w:t>第</w:t>
      </w:r>
      <w:r>
        <w:rPr>
          <w:rFonts w:hint="eastAsia" w:ascii="黑体" w:hAnsi="黑体" w:eastAsia="黑体" w:cs="黑体"/>
          <w:color w:val="333333"/>
          <w:sz w:val="32"/>
          <w:szCs w:val="32"/>
          <w:lang w:eastAsia="zh-CN"/>
        </w:rPr>
        <w:t>五</w:t>
      </w:r>
      <w:r>
        <w:rPr>
          <w:rFonts w:hint="eastAsia" w:ascii="黑体" w:hAnsi="黑体" w:eastAsia="黑体" w:cs="黑体"/>
          <w:color w:val="333333"/>
          <w:sz w:val="32"/>
          <w:szCs w:val="32"/>
        </w:rPr>
        <w:t xml:space="preserve">条  </w:t>
      </w:r>
      <w:r>
        <w:rPr>
          <w:rFonts w:hint="eastAsia" w:ascii="仿宋_GB2312" w:hAnsi="仿宋_GB2312" w:eastAsia="仿宋_GB2312" w:cs="仿宋_GB2312"/>
          <w:color w:val="000000"/>
          <w:sz w:val="32"/>
          <w:szCs w:val="32"/>
        </w:rPr>
        <w:t>用于置换的产能，须为符合国家产业政策的合规项目产能（包括完成整改的违规项目）</w:t>
      </w:r>
      <w:r>
        <w:rPr>
          <w:rFonts w:hint="eastAsia" w:ascii="仿宋_GB2312" w:hAnsi="仿宋_GB2312" w:eastAsia="仿宋_GB2312" w:cs="仿宋_GB2312"/>
          <w:color w:val="000000"/>
          <w:sz w:val="32"/>
          <w:szCs w:val="32"/>
          <w:lang w:eastAsia="zh-CN"/>
        </w:rPr>
        <w:t>。产能置换比例按照“两高”项目管理有关规定执行。</w:t>
      </w:r>
    </w:p>
    <w:p>
      <w:pPr>
        <w:widowControl/>
        <w:adjustRightInd/>
        <w:snapToGrid w:val="0"/>
        <w:spacing w:line="560" w:lineRule="exact"/>
        <w:ind w:firstLine="640" w:firstLineChars="200"/>
        <w:rPr>
          <w:rFonts w:hint="eastAsia" w:ascii="仿宋_GB2312" w:hAnsi="仿宋_GB2312" w:eastAsia="仿宋_GB2312" w:cs="仿宋_GB2312"/>
          <w:color w:val="auto"/>
          <w:sz w:val="32"/>
          <w:szCs w:val="32"/>
          <w:lang w:bidi="ar"/>
        </w:rPr>
      </w:pPr>
      <w:r>
        <w:rPr>
          <w:rFonts w:hint="eastAsia" w:ascii="黑体" w:hAnsi="黑体" w:eastAsia="黑体" w:cs="黑体"/>
          <w:color w:val="333333"/>
          <w:sz w:val="32"/>
          <w:szCs w:val="32"/>
        </w:rPr>
        <w:t>第</w:t>
      </w:r>
      <w:r>
        <w:rPr>
          <w:rFonts w:hint="eastAsia" w:ascii="黑体" w:hAnsi="黑体" w:eastAsia="黑体" w:cs="黑体"/>
          <w:color w:val="333333"/>
          <w:sz w:val="32"/>
          <w:szCs w:val="32"/>
          <w:lang w:eastAsia="zh-CN"/>
        </w:rPr>
        <w:t>六</w:t>
      </w:r>
      <w:r>
        <w:rPr>
          <w:rFonts w:hint="eastAsia" w:ascii="黑体" w:hAnsi="黑体" w:eastAsia="黑体" w:cs="黑体"/>
          <w:color w:val="333333"/>
          <w:sz w:val="32"/>
          <w:szCs w:val="32"/>
        </w:rPr>
        <w:t>条</w:t>
      </w:r>
      <w:r>
        <w:rPr>
          <w:rFonts w:hint="eastAsia" w:ascii="黑体" w:hAnsi="黑体" w:eastAsia="黑体" w:cs="黑体"/>
          <w:color w:val="333333"/>
          <w:sz w:val="32"/>
          <w:szCs w:val="32"/>
          <w:lang w:val="en-US" w:eastAsia="zh-CN"/>
        </w:rPr>
        <w:t xml:space="preserve">  </w:t>
      </w:r>
      <w:r>
        <w:rPr>
          <w:rFonts w:hint="eastAsia" w:ascii="仿宋_GB2312" w:hAnsi="仿宋_GB2312" w:eastAsia="仿宋_GB2312" w:cs="仿宋_GB2312"/>
          <w:color w:val="auto"/>
          <w:sz w:val="32"/>
          <w:szCs w:val="32"/>
          <w:lang w:val="en-US" w:eastAsia="zh-CN"/>
        </w:rPr>
        <w:t>列为《产业结构调整指导目录》淘汰类的落后产能、有债务纠纷的产能、已享</w:t>
      </w:r>
      <w:r>
        <w:rPr>
          <w:rFonts w:hint="eastAsia" w:ascii="仿宋_GB2312" w:hAnsi="仿宋_GB2312" w:eastAsia="仿宋_GB2312" w:cs="仿宋_GB2312"/>
          <w:color w:val="auto"/>
          <w:sz w:val="32"/>
          <w:szCs w:val="32"/>
        </w:rPr>
        <w:t>受政府补助的退出产能</w:t>
      </w:r>
      <w:r>
        <w:rPr>
          <w:rFonts w:hint="eastAsia" w:ascii="仿宋_GB2312" w:hAnsi="仿宋_GB2312" w:eastAsia="仿宋_GB2312" w:cs="仿宋_GB2312"/>
          <w:color w:val="auto"/>
          <w:sz w:val="32"/>
          <w:szCs w:val="32"/>
          <w:lang w:eastAsia="zh-CN"/>
        </w:rPr>
        <w:t>以及其他不符合相关规定的产能，</w:t>
      </w:r>
      <w:r>
        <w:rPr>
          <w:rFonts w:hint="eastAsia" w:ascii="仿宋_GB2312" w:hAnsi="仿宋_GB2312" w:eastAsia="仿宋_GB2312" w:cs="仿宋_GB2312"/>
          <w:color w:val="auto"/>
          <w:sz w:val="32"/>
          <w:szCs w:val="32"/>
        </w:rPr>
        <w:t>不得用于置换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用于置换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同一退出产能</w:t>
      </w:r>
      <w:r>
        <w:rPr>
          <w:rFonts w:hint="eastAsia" w:ascii="仿宋_GB2312" w:hAnsi="仿宋_GB2312" w:eastAsia="仿宋_GB2312" w:cs="仿宋_GB2312"/>
          <w:color w:val="auto"/>
          <w:sz w:val="32"/>
          <w:szCs w:val="32"/>
          <w:lang w:eastAsia="zh-CN" w:bidi="ar"/>
        </w:rPr>
        <w:t>可以</w:t>
      </w:r>
      <w:r>
        <w:rPr>
          <w:rFonts w:hint="eastAsia" w:ascii="仿宋_GB2312" w:hAnsi="仿宋_GB2312" w:eastAsia="仿宋_GB2312" w:cs="仿宋_GB2312"/>
          <w:color w:val="auto"/>
          <w:sz w:val="32"/>
          <w:szCs w:val="32"/>
          <w:lang w:bidi="ar"/>
        </w:rPr>
        <w:t>拆分</w:t>
      </w:r>
      <w:r>
        <w:rPr>
          <w:rFonts w:hint="eastAsia" w:ascii="仿宋_GB2312" w:hAnsi="仿宋_GB2312" w:eastAsia="仿宋_GB2312" w:cs="仿宋_GB2312"/>
          <w:color w:val="auto"/>
          <w:sz w:val="32"/>
          <w:szCs w:val="32"/>
          <w:lang w:eastAsia="zh-CN" w:bidi="ar"/>
        </w:rPr>
        <w:t>，但拆分</w:t>
      </w:r>
      <w:r>
        <w:rPr>
          <w:rFonts w:hint="eastAsia" w:ascii="仿宋_GB2312" w:hAnsi="仿宋_GB2312" w:eastAsia="仿宋_GB2312" w:cs="仿宋_GB2312"/>
          <w:color w:val="auto"/>
          <w:sz w:val="32"/>
          <w:szCs w:val="32"/>
          <w:lang w:bidi="ar"/>
        </w:rPr>
        <w:t>不得超过两</w:t>
      </w:r>
      <w:r>
        <w:rPr>
          <w:rFonts w:hint="eastAsia" w:ascii="仿宋_GB2312" w:hAnsi="仿宋_GB2312" w:eastAsia="仿宋_GB2312" w:cs="仿宋_GB2312"/>
          <w:color w:val="auto"/>
          <w:sz w:val="32"/>
          <w:szCs w:val="32"/>
          <w:lang w:val="en-US" w:eastAsia="zh-CN" w:bidi="ar"/>
        </w:rPr>
        <w:t>个项目</w:t>
      </w:r>
      <w:r>
        <w:rPr>
          <w:rFonts w:hint="eastAsia" w:ascii="仿宋_GB2312" w:hAnsi="仿宋_GB2312" w:eastAsia="仿宋_GB2312" w:cs="仿宋_GB2312"/>
          <w:color w:val="auto"/>
          <w:sz w:val="32"/>
          <w:szCs w:val="32"/>
          <w:lang w:bidi="ar"/>
        </w:rPr>
        <w:t>。</w:t>
      </w:r>
    </w:p>
    <w:p>
      <w:pPr>
        <w:widowControl/>
        <w:snapToGrid w:val="0"/>
        <w:spacing w:line="560" w:lineRule="exact"/>
        <w:ind w:firstLine="0" w:firstLineChars="0"/>
        <w:jc w:val="center"/>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第二章</w:t>
      </w:r>
      <w:r>
        <w:rPr>
          <w:rFonts w:hint="eastAsia" w:ascii="黑体" w:hAnsi="黑体" w:eastAsia="黑体" w:cs="黑体"/>
          <w:color w:val="auto"/>
          <w:sz w:val="32"/>
          <w:szCs w:val="32"/>
          <w:lang w:val="en-US" w:eastAsia="zh-CN"/>
        </w:rPr>
        <w:t xml:space="preserve">  方案编制、审核</w:t>
      </w:r>
    </w:p>
    <w:p>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333333"/>
          <w:sz w:val="32"/>
          <w:szCs w:val="32"/>
        </w:rPr>
        <w:t>第</w:t>
      </w:r>
      <w:r>
        <w:rPr>
          <w:rFonts w:hint="eastAsia" w:ascii="黑体" w:hAnsi="黑体" w:eastAsia="黑体" w:cs="黑体"/>
          <w:color w:val="333333"/>
          <w:sz w:val="32"/>
          <w:szCs w:val="32"/>
          <w:lang w:eastAsia="zh-CN"/>
        </w:rPr>
        <w:t>七</w:t>
      </w:r>
      <w:r>
        <w:rPr>
          <w:rFonts w:hint="eastAsia" w:ascii="黑体" w:hAnsi="黑体" w:eastAsia="黑体" w:cs="黑体"/>
          <w:color w:val="333333"/>
          <w:sz w:val="32"/>
          <w:szCs w:val="32"/>
        </w:rPr>
        <w:t>条</w:t>
      </w:r>
      <w:r>
        <w:rPr>
          <w:rFonts w:hint="eastAsia" w:ascii="黑体" w:hAnsi="黑体" w:eastAsia="黑体" w:cs="黑体"/>
          <w:color w:val="333333"/>
          <w:sz w:val="32"/>
          <w:szCs w:val="32"/>
          <w:lang w:val="en-US" w:eastAsia="zh-CN"/>
        </w:rPr>
        <w:t xml:space="preserve">  </w:t>
      </w:r>
      <w:r>
        <w:rPr>
          <w:rFonts w:hint="eastAsia" w:ascii="仿宋_GB2312" w:hAnsi="仿宋_GB2312" w:eastAsia="仿宋_GB2312" w:cs="仿宋_GB2312"/>
          <w:color w:val="000000"/>
          <w:sz w:val="32"/>
          <w:szCs w:val="32"/>
        </w:rPr>
        <w:t>项目建设</w:t>
      </w:r>
      <w:r>
        <w:rPr>
          <w:rFonts w:hint="eastAsia" w:ascii="仿宋_GB2312" w:hAnsi="仿宋_GB2312" w:eastAsia="仿宋_GB2312" w:cs="仿宋_GB2312"/>
          <w:color w:val="000000"/>
          <w:sz w:val="32"/>
          <w:szCs w:val="32"/>
          <w:lang w:val="en-US" w:eastAsia="zh-CN"/>
        </w:rPr>
        <w:t>企业须</w:t>
      </w:r>
      <w:r>
        <w:rPr>
          <w:rFonts w:hint="eastAsia" w:ascii="仿宋_GB2312" w:hAnsi="仿宋_GB2312" w:eastAsia="仿宋_GB2312" w:cs="仿宋_GB2312"/>
          <w:color w:val="000000"/>
          <w:sz w:val="32"/>
          <w:szCs w:val="32"/>
        </w:rPr>
        <w:t>制定产能置换方案，应包括以下内容：</w:t>
      </w:r>
    </w:p>
    <w:p>
      <w:pPr>
        <w:adjustRightInd w:val="0"/>
        <w:snapToGrid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（一）项目建设企业名称</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所在地、</w:t>
      </w:r>
      <w:r>
        <w:rPr>
          <w:rFonts w:hint="eastAsia" w:ascii="仿宋_GB2312" w:hAnsi="仿宋_GB2312" w:eastAsia="仿宋_GB2312" w:cs="仿宋_GB2312"/>
          <w:color w:val="000000"/>
          <w:sz w:val="32"/>
          <w:szCs w:val="32"/>
          <w:lang w:val="en-US" w:eastAsia="zh-CN"/>
        </w:rPr>
        <w:t>统一社会信用代码</w:t>
      </w:r>
      <w:r>
        <w:rPr>
          <w:rFonts w:hint="eastAsia" w:ascii="仿宋_GB2312" w:hAnsi="仿宋_GB2312" w:eastAsia="仿宋_GB2312" w:cs="仿宋_GB2312"/>
          <w:color w:val="000000"/>
          <w:sz w:val="32"/>
          <w:szCs w:val="32"/>
          <w:lang w:eastAsia="zh-CN"/>
        </w:rPr>
        <w:t>，建设项目名称</w:t>
      </w:r>
      <w:r>
        <w:rPr>
          <w:rFonts w:hint="eastAsia" w:ascii="仿宋_GB2312" w:hAnsi="仿宋_GB2312" w:eastAsia="仿宋_GB2312" w:cs="仿宋_GB2312"/>
          <w:color w:val="000000"/>
          <w:sz w:val="32"/>
          <w:szCs w:val="32"/>
          <w:lang w:val="en-US" w:eastAsia="zh-CN"/>
        </w:rPr>
        <w:t>、建设地点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主要设备型号、数量和产能，计划开工和投产时间。</w:t>
      </w:r>
    </w:p>
    <w:p>
      <w:pPr>
        <w:adjustRightInd w:val="0"/>
        <w:snapToGrid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（二）退出产能</w:t>
      </w:r>
      <w:r>
        <w:rPr>
          <w:rFonts w:hint="eastAsia" w:ascii="仿宋_GB2312" w:hAnsi="仿宋" w:eastAsia="仿宋_GB2312"/>
          <w:sz w:val="32"/>
          <w:szCs w:val="32"/>
        </w:rPr>
        <w:t>企业名称</w:t>
      </w:r>
      <w:r>
        <w:rPr>
          <w:rFonts w:hint="eastAsia" w:ascii="仿宋_GB2312" w:hAnsi="仿宋_GB2312" w:eastAsia="仿宋_GB2312" w:cs="仿宋_GB2312"/>
          <w:color w:val="000000"/>
          <w:sz w:val="32"/>
          <w:szCs w:val="32"/>
          <w:lang w:val="en-US" w:eastAsia="zh-CN"/>
        </w:rPr>
        <w:t>、所在地、统一社会信用代码，退出装置所在地点、主要设备型号、数量和产能，计划关停和拆除时间。</w:t>
      </w:r>
    </w:p>
    <w:p>
      <w:pPr>
        <w:widowControl/>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 w:eastAsia="仿宋_GB2312"/>
          <w:sz w:val="32"/>
          <w:szCs w:val="32"/>
        </w:rPr>
        <w:t>（三）产能置换双方的</w:t>
      </w:r>
      <w:r>
        <w:rPr>
          <w:rFonts w:hint="eastAsia" w:ascii="仿宋_GB2312" w:hAnsi="仿宋_GB2312" w:eastAsia="仿宋_GB2312" w:cs="仿宋_GB2312"/>
          <w:color w:val="000000"/>
          <w:sz w:val="32"/>
          <w:szCs w:val="32"/>
        </w:rPr>
        <w:t>工商营业执照</w:t>
      </w:r>
      <w:r>
        <w:rPr>
          <w:rFonts w:hint="eastAsia" w:ascii="仿宋_GB2312" w:hAnsi="仿宋" w:eastAsia="仿宋_GB2312"/>
          <w:sz w:val="32"/>
          <w:szCs w:val="32"/>
          <w:lang w:eastAsia="zh-CN"/>
        </w:rPr>
        <w:t>，产能转让协议，</w:t>
      </w:r>
      <w:r>
        <w:rPr>
          <w:rFonts w:ascii="仿宋_GB2312" w:hAnsi="仿宋" w:eastAsia="仿宋_GB2312"/>
          <w:sz w:val="32"/>
          <w:szCs w:val="32"/>
        </w:rPr>
        <w:t>退出</w:t>
      </w:r>
      <w:r>
        <w:rPr>
          <w:rFonts w:hint="eastAsia" w:ascii="仿宋_GB2312" w:hAnsi="仿宋" w:eastAsia="仿宋_GB2312"/>
          <w:sz w:val="32"/>
          <w:szCs w:val="32"/>
        </w:rPr>
        <w:t>产能</w:t>
      </w:r>
      <w:r>
        <w:rPr>
          <w:rFonts w:ascii="仿宋_GB2312" w:hAnsi="仿宋" w:eastAsia="仿宋_GB2312"/>
          <w:sz w:val="32"/>
          <w:szCs w:val="32"/>
        </w:rPr>
        <w:t>的</w:t>
      </w:r>
      <w:r>
        <w:rPr>
          <w:rFonts w:hint="eastAsia" w:ascii="仿宋_GB2312" w:hAnsi="仿宋" w:eastAsia="仿宋_GB2312"/>
          <w:sz w:val="32"/>
          <w:szCs w:val="32"/>
        </w:rPr>
        <w:t>合规性文件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材料真</w:t>
      </w:r>
      <w:r>
        <w:rPr>
          <w:rFonts w:hint="eastAsia" w:ascii="仿宋_GB2312" w:hAnsi="仿宋" w:eastAsia="仿宋_GB2312" w:cs="Times New Roman"/>
          <w:sz w:val="32"/>
          <w:szCs w:val="32"/>
        </w:rPr>
        <w:t>实性</w:t>
      </w:r>
      <w:r>
        <w:rPr>
          <w:rFonts w:hint="eastAsia" w:ascii="仿宋_GB2312" w:hAnsi="仿宋" w:eastAsia="仿宋_GB2312" w:cs="Times New Roman"/>
          <w:sz w:val="32"/>
          <w:szCs w:val="32"/>
          <w:u w:val="none"/>
          <w:lang w:eastAsia="zh-CN"/>
        </w:rPr>
        <w:t>、退出产能无资产债务纠纷</w:t>
      </w:r>
      <w:r>
        <w:rPr>
          <w:rFonts w:hint="eastAsia" w:ascii="仿宋_GB2312" w:hAnsi="仿宋" w:eastAsia="仿宋_GB2312" w:cs="Times New Roman"/>
          <w:sz w:val="32"/>
          <w:szCs w:val="32"/>
        </w:rPr>
        <w:t>和按</w:t>
      </w:r>
      <w:r>
        <w:rPr>
          <w:rFonts w:hint="eastAsia" w:ascii="仿宋_GB2312" w:hAnsi="仿宋_GB2312" w:eastAsia="仿宋_GB2312" w:cs="仿宋_GB2312"/>
          <w:color w:val="000000"/>
          <w:sz w:val="32"/>
          <w:szCs w:val="32"/>
        </w:rPr>
        <w:t>期</w:t>
      </w:r>
      <w:r>
        <w:rPr>
          <w:rFonts w:hint="eastAsia" w:ascii="仿宋_GB2312" w:hAnsi="仿宋_GB2312" w:eastAsia="仿宋_GB2312" w:cs="仿宋_GB2312"/>
          <w:color w:val="000000"/>
          <w:sz w:val="32"/>
          <w:szCs w:val="32"/>
          <w:lang w:val="en-US" w:eastAsia="zh-CN"/>
        </w:rPr>
        <w:t>关停</w:t>
      </w:r>
      <w:r>
        <w:rPr>
          <w:rFonts w:hint="eastAsia" w:ascii="仿宋_GB2312" w:hAnsi="仿宋_GB2312" w:eastAsia="仿宋_GB2312" w:cs="仿宋_GB2312"/>
          <w:color w:val="000000"/>
          <w:sz w:val="32"/>
          <w:szCs w:val="32"/>
        </w:rPr>
        <w:t>拆除的承诺书。</w:t>
      </w:r>
    </w:p>
    <w:p>
      <w:pPr>
        <w:widowControl/>
        <w:adjustRightInd w:val="0"/>
        <w:snapToGrid w:val="0"/>
        <w:spacing w:line="560" w:lineRule="exact"/>
        <w:ind w:firstLine="640" w:firstLineChars="200"/>
        <w:rPr>
          <w:rFonts w:hint="eastAsia" w:eastAsia="仿宋_GB2312"/>
          <w:lang w:eastAsia="zh-CN"/>
        </w:rPr>
      </w:pPr>
      <w:r>
        <w:rPr>
          <w:rFonts w:hint="eastAsia" w:ascii="仿宋_GB2312" w:hAnsi="仿宋" w:eastAsia="仿宋_GB2312"/>
          <w:sz w:val="32"/>
          <w:szCs w:val="32"/>
        </w:rPr>
        <w:t>（</w:t>
      </w:r>
      <w:r>
        <w:rPr>
          <w:rFonts w:hint="eastAsia" w:ascii="仿宋_GB2312" w:hAnsi="仿宋" w:eastAsia="仿宋_GB2312"/>
          <w:sz w:val="32"/>
          <w:szCs w:val="32"/>
          <w:lang w:eastAsia="zh-CN"/>
        </w:rPr>
        <w:t>四</w:t>
      </w:r>
      <w:r>
        <w:rPr>
          <w:rFonts w:hint="eastAsia" w:ascii="仿宋_GB2312" w:hAnsi="仿宋" w:eastAsia="仿宋_GB2312"/>
          <w:sz w:val="32"/>
          <w:szCs w:val="32"/>
        </w:rPr>
        <w:t>）</w:t>
      </w:r>
      <w:r>
        <w:rPr>
          <w:rFonts w:hint="eastAsia" w:ascii="仿宋_GB2312" w:hAnsi="仿宋" w:eastAsia="仿宋_GB2312"/>
          <w:sz w:val="32"/>
          <w:szCs w:val="32"/>
          <w:lang w:eastAsia="zh-CN"/>
        </w:rPr>
        <w:t>其他需要提供的材料。</w:t>
      </w:r>
    </w:p>
    <w:p>
      <w:pPr>
        <w:widowControl/>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333333"/>
          <w:sz w:val="32"/>
          <w:szCs w:val="32"/>
        </w:rPr>
        <w:t>第</w:t>
      </w:r>
      <w:r>
        <w:rPr>
          <w:rFonts w:hint="eastAsia" w:ascii="黑体" w:hAnsi="黑体" w:eastAsia="黑体" w:cs="黑体"/>
          <w:color w:val="333333"/>
          <w:sz w:val="32"/>
          <w:szCs w:val="32"/>
          <w:lang w:eastAsia="zh-CN"/>
        </w:rPr>
        <w:t>八</w:t>
      </w:r>
      <w:r>
        <w:rPr>
          <w:rFonts w:hint="eastAsia" w:ascii="黑体" w:hAnsi="黑体" w:eastAsia="黑体" w:cs="黑体"/>
          <w:color w:val="333333"/>
          <w:sz w:val="32"/>
          <w:szCs w:val="32"/>
        </w:rPr>
        <w:t>条</w:t>
      </w:r>
      <w:r>
        <w:rPr>
          <w:rFonts w:hint="eastAsia" w:ascii="黑体" w:hAnsi="黑体" w:eastAsia="黑体" w:cs="黑体"/>
          <w:color w:val="333333"/>
          <w:sz w:val="32"/>
          <w:szCs w:val="32"/>
          <w:lang w:val="en-US" w:eastAsia="zh-CN"/>
        </w:rPr>
        <w:t xml:space="preserve">  </w:t>
      </w:r>
      <w:r>
        <w:rPr>
          <w:rFonts w:hint="eastAsia" w:ascii="仿宋_GB2312" w:hAnsi="仿宋_GB2312" w:eastAsia="仿宋_GB2312" w:cs="仿宋_GB2312"/>
          <w:color w:val="000000"/>
          <w:sz w:val="32"/>
          <w:szCs w:val="32"/>
        </w:rPr>
        <w:t>置换方案由置换双方所在县（市、区）工业和信息化局、设区市工业和信息化局</w:t>
      </w:r>
      <w:r>
        <w:rPr>
          <w:rFonts w:hint="eastAsia" w:ascii="仿宋_GB2312" w:hAnsi="仿宋_GB2312" w:eastAsia="仿宋_GB2312" w:cs="仿宋_GB2312"/>
          <w:color w:val="000000"/>
          <w:sz w:val="32"/>
          <w:szCs w:val="32"/>
          <w:lang w:eastAsia="zh-CN"/>
        </w:rPr>
        <w:t>逐级审核</w:t>
      </w:r>
      <w:r>
        <w:rPr>
          <w:rFonts w:hint="eastAsia" w:ascii="仿宋_GB2312" w:hAnsi="仿宋_GB2312" w:eastAsia="仿宋_GB2312" w:cs="仿宋_GB2312"/>
          <w:color w:val="000000"/>
          <w:sz w:val="32"/>
          <w:szCs w:val="32"/>
        </w:rPr>
        <w:t>同意后，由项目建设</w:t>
      </w:r>
      <w:r>
        <w:rPr>
          <w:rFonts w:hint="eastAsia" w:ascii="仿宋_GB2312" w:hAnsi="仿宋_GB2312" w:eastAsia="仿宋_GB2312" w:cs="仿宋_GB2312"/>
          <w:color w:val="000000"/>
          <w:sz w:val="32"/>
          <w:szCs w:val="32"/>
          <w:lang w:val="en-US" w:eastAsia="zh-CN"/>
        </w:rPr>
        <w:t>企业</w:t>
      </w:r>
      <w:r>
        <w:rPr>
          <w:rFonts w:hint="eastAsia" w:ascii="仿宋_GB2312" w:hAnsi="仿宋_GB2312" w:eastAsia="仿宋_GB2312" w:cs="仿宋_GB2312"/>
          <w:color w:val="000000"/>
          <w:sz w:val="32"/>
          <w:szCs w:val="32"/>
        </w:rPr>
        <w:t>所在设区市工业和信息化局上报省工业和信息化厅。</w:t>
      </w:r>
    </w:p>
    <w:p>
      <w:pPr>
        <w:widowControl w:val="0"/>
        <w:adjustRightInd w:val="0"/>
        <w:snapToGrid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333333"/>
          <w:sz w:val="32"/>
          <w:szCs w:val="32"/>
        </w:rPr>
        <w:t>第</w:t>
      </w:r>
      <w:r>
        <w:rPr>
          <w:rFonts w:hint="eastAsia" w:ascii="黑体" w:hAnsi="黑体" w:eastAsia="黑体" w:cs="黑体"/>
          <w:color w:val="333333"/>
          <w:sz w:val="32"/>
          <w:szCs w:val="32"/>
          <w:lang w:eastAsia="zh-CN"/>
        </w:rPr>
        <w:t>九</w:t>
      </w:r>
      <w:r>
        <w:rPr>
          <w:rFonts w:hint="eastAsia" w:ascii="黑体" w:hAnsi="黑体" w:eastAsia="黑体" w:cs="黑体"/>
          <w:color w:val="333333"/>
          <w:sz w:val="32"/>
          <w:szCs w:val="32"/>
        </w:rPr>
        <w:t>条</w:t>
      </w:r>
      <w:r>
        <w:rPr>
          <w:rFonts w:hint="eastAsia" w:ascii="黑体" w:hAnsi="黑体" w:eastAsia="黑体" w:cs="黑体"/>
          <w:color w:val="333333"/>
          <w:sz w:val="32"/>
          <w:szCs w:val="32"/>
          <w:lang w:val="en-US" w:eastAsia="zh-CN"/>
        </w:rPr>
        <w:t xml:space="preserve">  </w:t>
      </w:r>
      <w:r>
        <w:rPr>
          <w:rFonts w:hint="eastAsia" w:ascii="仿宋_GB2312" w:hAnsi="仿宋_GB2312" w:eastAsia="仿宋_GB2312" w:cs="仿宋_GB2312"/>
          <w:color w:val="000000"/>
          <w:sz w:val="32"/>
          <w:szCs w:val="32"/>
        </w:rPr>
        <w:t>省工业和信息化厅</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rPr>
        <w:t>设区市工业和信息化局</w:t>
      </w:r>
      <w:r>
        <w:rPr>
          <w:rFonts w:hint="eastAsia" w:ascii="仿宋_GB2312" w:hAnsi="仿宋_GB2312" w:eastAsia="仿宋_GB2312" w:cs="仿宋_GB2312"/>
          <w:color w:val="000000"/>
          <w:sz w:val="32"/>
          <w:szCs w:val="32"/>
          <w:lang w:eastAsia="zh-CN"/>
        </w:rPr>
        <w:t>上报的置换方案进行</w:t>
      </w:r>
      <w:r>
        <w:rPr>
          <w:rFonts w:hint="eastAsia" w:ascii="仿宋_GB2312" w:hAnsi="仿宋_GB2312" w:eastAsia="仿宋_GB2312" w:cs="仿宋_GB2312"/>
          <w:color w:val="000000"/>
          <w:sz w:val="32"/>
          <w:szCs w:val="32"/>
        </w:rPr>
        <w:t>审核</w:t>
      </w:r>
      <w:r>
        <w:rPr>
          <w:rFonts w:hint="eastAsia" w:ascii="仿宋_GB2312" w:hAnsi="仿宋_GB2312" w:eastAsia="仿宋_GB2312" w:cs="仿宋_GB2312"/>
          <w:color w:val="000000"/>
          <w:sz w:val="32"/>
          <w:szCs w:val="32"/>
          <w:lang w:eastAsia="zh-CN"/>
        </w:rPr>
        <w:t>，通过</w:t>
      </w:r>
      <w:r>
        <w:rPr>
          <w:rFonts w:hint="eastAsia" w:ascii="仿宋_GB2312" w:hAnsi="仿宋_GB2312" w:eastAsia="仿宋_GB2312" w:cs="仿宋_GB2312"/>
          <w:color w:val="000000"/>
          <w:sz w:val="32"/>
          <w:szCs w:val="32"/>
        </w:rPr>
        <w:t>后向社会公示，公示期为</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个工作日</w:t>
      </w:r>
      <w:r>
        <w:rPr>
          <w:rFonts w:hint="eastAsia" w:ascii="仿宋_GB2312" w:hAnsi="仿宋_GB2312" w:eastAsia="仿宋_GB2312" w:cs="仿宋_GB2312"/>
          <w:color w:val="000000"/>
          <w:sz w:val="32"/>
          <w:szCs w:val="32"/>
          <w:lang w:eastAsia="zh-CN"/>
        </w:rPr>
        <w:t>。公示</w:t>
      </w:r>
      <w:r>
        <w:rPr>
          <w:rFonts w:hint="eastAsia" w:ascii="仿宋_GB2312" w:hAnsi="仿宋_GB2312" w:eastAsia="仿宋_GB2312" w:cs="仿宋_GB2312"/>
          <w:color w:val="000000"/>
          <w:sz w:val="32"/>
          <w:szCs w:val="32"/>
        </w:rPr>
        <w:t>无异议</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rPr>
        <w:t>予以公告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有异议的，</w:t>
      </w:r>
      <w:r>
        <w:rPr>
          <w:rFonts w:hint="eastAsia" w:ascii="仿宋_GB2312" w:hAnsi="仿宋_GB2312" w:eastAsia="仿宋_GB2312" w:cs="仿宋_GB2312"/>
          <w:color w:val="000000"/>
          <w:sz w:val="32"/>
          <w:szCs w:val="32"/>
        </w:rPr>
        <w:t>省工业和信息化厅</w:t>
      </w:r>
      <w:r>
        <w:rPr>
          <w:rFonts w:hint="eastAsia" w:ascii="仿宋_GB2312" w:hAnsi="仿宋_GB2312" w:eastAsia="仿宋_GB2312" w:cs="仿宋_GB2312"/>
          <w:color w:val="000000"/>
          <w:sz w:val="32"/>
          <w:szCs w:val="32"/>
          <w:lang w:val="en-US" w:eastAsia="zh-CN"/>
        </w:rPr>
        <w:t>会同有关部门和专家进行现场核实后，确定是否予以公告。</w:t>
      </w:r>
    </w:p>
    <w:p>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333333"/>
          <w:sz w:val="32"/>
          <w:szCs w:val="32"/>
        </w:rPr>
        <w:t>第</w:t>
      </w:r>
      <w:r>
        <w:rPr>
          <w:rFonts w:hint="eastAsia" w:ascii="黑体" w:hAnsi="黑体" w:eastAsia="黑体" w:cs="黑体"/>
          <w:color w:val="333333"/>
          <w:sz w:val="32"/>
          <w:szCs w:val="32"/>
          <w:lang w:eastAsia="zh-CN"/>
        </w:rPr>
        <w:t>十</w:t>
      </w:r>
      <w:r>
        <w:rPr>
          <w:rFonts w:hint="eastAsia" w:ascii="黑体" w:hAnsi="黑体" w:eastAsia="黑体" w:cs="黑体"/>
          <w:color w:val="333333"/>
          <w:sz w:val="32"/>
          <w:szCs w:val="32"/>
        </w:rPr>
        <w:t>条</w:t>
      </w:r>
      <w:r>
        <w:rPr>
          <w:rFonts w:hint="eastAsia" w:ascii="黑体" w:hAnsi="黑体" w:eastAsia="黑体" w:cs="黑体"/>
          <w:color w:val="333333"/>
          <w:sz w:val="32"/>
          <w:szCs w:val="32"/>
          <w:lang w:val="en-US" w:eastAsia="zh-CN"/>
        </w:rPr>
        <w:t xml:space="preserve">  </w:t>
      </w:r>
      <w:r>
        <w:rPr>
          <w:rFonts w:hint="eastAsia" w:ascii="仿宋_GB2312" w:hAnsi="仿宋_GB2312" w:eastAsia="仿宋_GB2312" w:cs="仿宋_GB2312"/>
          <w:color w:val="000000"/>
          <w:sz w:val="32"/>
          <w:szCs w:val="32"/>
          <w:lang w:val="en-US" w:eastAsia="zh-CN"/>
        </w:rPr>
        <w:t>置换方案经公告后，</w:t>
      </w:r>
      <w:r>
        <w:rPr>
          <w:rFonts w:hint="eastAsia" w:ascii="仿宋_GB2312" w:hAnsi="仿宋_GB2312" w:eastAsia="仿宋_GB2312" w:cs="仿宋_GB2312"/>
          <w:color w:val="000000"/>
          <w:sz w:val="32"/>
          <w:szCs w:val="32"/>
        </w:rPr>
        <w:t>项目管理部门按照权限办理</w:t>
      </w:r>
      <w:r>
        <w:rPr>
          <w:rFonts w:hint="eastAsia" w:ascii="仿宋_GB2312" w:hAnsi="仿宋_GB2312" w:eastAsia="仿宋_GB2312" w:cs="仿宋_GB2312"/>
          <w:color w:val="000000"/>
          <w:sz w:val="32"/>
          <w:szCs w:val="32"/>
          <w:lang w:val="en-US" w:eastAsia="zh-CN"/>
        </w:rPr>
        <w:t>项目核准或备案相关</w:t>
      </w:r>
      <w:r>
        <w:rPr>
          <w:rFonts w:hint="eastAsia" w:ascii="仿宋_GB2312" w:hAnsi="仿宋_GB2312" w:eastAsia="仿宋_GB2312" w:cs="仿宋_GB2312"/>
          <w:color w:val="000000"/>
          <w:sz w:val="32"/>
          <w:szCs w:val="32"/>
        </w:rPr>
        <w:t>手续。</w:t>
      </w:r>
    </w:p>
    <w:p>
      <w:pPr>
        <w:widowControl/>
        <w:adjustRightInd w:val="0"/>
        <w:snapToGrid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333333"/>
          <w:sz w:val="32"/>
          <w:szCs w:val="32"/>
        </w:rPr>
        <w:t>第</w:t>
      </w:r>
      <w:r>
        <w:rPr>
          <w:rFonts w:hint="eastAsia" w:ascii="黑体" w:hAnsi="黑体" w:eastAsia="黑体" w:cs="黑体"/>
          <w:color w:val="333333"/>
          <w:sz w:val="32"/>
          <w:szCs w:val="32"/>
          <w:lang w:eastAsia="zh-CN"/>
        </w:rPr>
        <w:t>十一</w:t>
      </w:r>
      <w:r>
        <w:rPr>
          <w:rFonts w:hint="eastAsia" w:ascii="黑体" w:hAnsi="黑体" w:eastAsia="黑体" w:cs="黑体"/>
          <w:color w:val="333333"/>
          <w:sz w:val="32"/>
          <w:szCs w:val="32"/>
        </w:rPr>
        <w:t>条</w:t>
      </w:r>
      <w:r>
        <w:rPr>
          <w:rFonts w:hint="eastAsia" w:ascii="仿宋_GB2312" w:hAnsi="黑体" w:eastAsia="仿宋_GB2312" w:cs="黑体"/>
          <w:color w:val="000000"/>
          <w:sz w:val="32"/>
          <w:szCs w:val="32"/>
          <w:lang w:val="en-US" w:eastAsia="zh-CN"/>
        </w:rPr>
        <w:t xml:space="preserve">  产能置换双方企业</w:t>
      </w:r>
      <w:r>
        <w:rPr>
          <w:rFonts w:hint="eastAsia" w:ascii="仿宋_GB2312" w:hAnsi="仿宋_GB2312" w:eastAsia="仿宋_GB2312" w:cs="仿宋_GB2312"/>
          <w:color w:val="000000"/>
          <w:sz w:val="32"/>
          <w:szCs w:val="32"/>
          <w:lang w:val="en-US" w:eastAsia="zh-CN"/>
        </w:rPr>
        <w:t>应严格执行公告后的产能置换方案，确有必要进行调整的须严格执行变更程序。</w:t>
      </w:r>
    </w:p>
    <w:p>
      <w:pPr>
        <w:widowControl/>
        <w:adjustRightInd w:val="0"/>
        <w:snapToGrid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val="en-US" w:eastAsia="zh-CN"/>
        </w:rPr>
        <w:t>对拟建或退出主要设备数量或产能发生变更的，</w:t>
      </w:r>
      <w:r>
        <w:rPr>
          <w:rFonts w:hint="eastAsia" w:ascii="仿宋_GB2312" w:hAnsi="黑体" w:eastAsia="仿宋_GB2312" w:cs="黑体"/>
          <w:color w:val="000000"/>
          <w:sz w:val="32"/>
          <w:szCs w:val="32"/>
          <w:lang w:val="en-US" w:eastAsia="zh-CN"/>
        </w:rPr>
        <w:t>双方企业达成一致后，</w:t>
      </w:r>
      <w:r>
        <w:rPr>
          <w:rFonts w:hint="eastAsia" w:ascii="仿宋_GB2312" w:hAnsi="仿宋_GB2312" w:eastAsia="仿宋_GB2312" w:cs="仿宋_GB2312"/>
          <w:color w:val="000000"/>
          <w:sz w:val="32"/>
          <w:szCs w:val="32"/>
          <w:lang w:val="en-US" w:eastAsia="zh-CN"/>
        </w:rPr>
        <w:t>项目建设企业须按照本办法第七条有关规定重新制定、报送产能置换方案，各级</w:t>
      </w:r>
      <w:r>
        <w:rPr>
          <w:rFonts w:hint="eastAsia" w:ascii="仿宋_GB2312" w:hAnsi="仿宋_GB2312" w:eastAsia="仿宋_GB2312" w:cs="仿宋_GB2312"/>
          <w:color w:val="000000"/>
          <w:sz w:val="32"/>
          <w:szCs w:val="32"/>
          <w:lang w:eastAsia="zh-CN"/>
        </w:rPr>
        <w:t>工业和信息化</w:t>
      </w:r>
      <w:r>
        <w:rPr>
          <w:rFonts w:hint="eastAsia" w:ascii="仿宋_GB2312" w:hAnsi="仿宋_GB2312" w:eastAsia="仿宋_GB2312" w:cs="仿宋_GB2312"/>
          <w:color w:val="000000"/>
          <w:sz w:val="32"/>
          <w:szCs w:val="32"/>
          <w:lang w:val="en-US" w:eastAsia="zh-CN"/>
        </w:rPr>
        <w:t>部门按照本办法第八、九条有关规定重新审核。</w:t>
      </w:r>
    </w:p>
    <w:p>
      <w:pPr>
        <w:widowControl/>
        <w:adjustRightInd w:val="0"/>
        <w:snapToGrid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变更后的产能置换方案公告时，原产能置换方案须同时撤销。</w:t>
      </w:r>
    </w:p>
    <w:p>
      <w:pPr>
        <w:widowControl/>
        <w:adjustRightInd w:val="0"/>
        <w:snapToGrid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对建设项目地址、企业名称发生变化的，由建设项目所在设区市工业和信息化局报告省工业和信息化厅，省工业和信息化厅审核后及时在门户网站作出说明。</w:t>
      </w:r>
    </w:p>
    <w:p>
      <w:pPr>
        <w:widowControl/>
        <w:adjustRightInd/>
        <w:snapToGrid w:val="0"/>
        <w:spacing w:line="560" w:lineRule="exact"/>
        <w:ind w:firstLine="640" w:firstLineChars="200"/>
        <w:jc w:val="center"/>
        <w:rPr>
          <w:rFonts w:hint="eastAsia" w:ascii="黑体" w:hAnsi="黑体" w:eastAsia="黑体" w:cs="黑体"/>
          <w:color w:val="333333"/>
          <w:sz w:val="32"/>
          <w:szCs w:val="32"/>
        </w:rPr>
      </w:pPr>
      <w:r>
        <w:rPr>
          <w:rFonts w:hint="eastAsia" w:ascii="黑体" w:hAnsi="黑体" w:eastAsia="黑体" w:cs="黑体"/>
          <w:color w:val="auto"/>
          <w:sz w:val="32"/>
          <w:szCs w:val="32"/>
          <w:lang w:eastAsia="zh-CN"/>
        </w:rPr>
        <w:t>第三章</w:t>
      </w:r>
      <w:r>
        <w:rPr>
          <w:rFonts w:hint="eastAsia" w:ascii="黑体" w:hAnsi="黑体" w:eastAsia="黑体" w:cs="黑体"/>
          <w:color w:val="auto"/>
          <w:sz w:val="32"/>
          <w:szCs w:val="32"/>
          <w:lang w:val="en-US" w:eastAsia="zh-CN"/>
        </w:rPr>
        <w:t xml:space="preserve">  监督管理</w:t>
      </w:r>
    </w:p>
    <w:p>
      <w:pPr>
        <w:widowControl/>
        <w:adjustRightInd w:val="0"/>
        <w:snapToGrid w:val="0"/>
        <w:spacing w:line="56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333333"/>
          <w:sz w:val="32"/>
          <w:szCs w:val="32"/>
        </w:rPr>
        <w:t>第十</w:t>
      </w:r>
      <w:r>
        <w:rPr>
          <w:rFonts w:hint="eastAsia" w:ascii="黑体" w:hAnsi="黑体" w:eastAsia="黑体" w:cs="黑体"/>
          <w:color w:val="333333"/>
          <w:sz w:val="32"/>
          <w:szCs w:val="32"/>
          <w:highlight w:val="none"/>
          <w:lang w:eastAsia="zh-CN"/>
        </w:rPr>
        <w:t>二</w:t>
      </w:r>
      <w:r>
        <w:rPr>
          <w:rFonts w:hint="eastAsia" w:ascii="黑体" w:hAnsi="黑体" w:eastAsia="黑体" w:cs="黑体"/>
          <w:color w:val="333333"/>
          <w:sz w:val="32"/>
          <w:szCs w:val="32"/>
        </w:rPr>
        <w:t>条</w:t>
      </w:r>
      <w:r>
        <w:rPr>
          <w:rFonts w:hint="eastAsia" w:ascii="仿宋_GB2312" w:hAnsi="仿宋" w:eastAsia="仿宋_GB2312" w:cs="仿宋"/>
          <w:sz w:val="32"/>
          <w:szCs w:val="32"/>
        </w:rPr>
        <w:t xml:space="preserve">  </w:t>
      </w:r>
      <w:r>
        <w:rPr>
          <w:rFonts w:hint="eastAsia" w:ascii="仿宋_GB2312" w:hAnsi="仿宋_GB2312" w:eastAsia="仿宋_GB2312" w:cs="仿宋_GB2312"/>
          <w:color w:val="000000"/>
          <w:sz w:val="32"/>
          <w:szCs w:val="32"/>
        </w:rPr>
        <w:t>项目建设</w:t>
      </w:r>
      <w:r>
        <w:rPr>
          <w:rFonts w:hint="eastAsia" w:ascii="仿宋_GB2312" w:hAnsi="仿宋_GB2312" w:eastAsia="仿宋_GB2312" w:cs="仿宋_GB2312"/>
          <w:color w:val="000000"/>
          <w:sz w:val="32"/>
          <w:szCs w:val="32"/>
          <w:lang w:val="en-US" w:eastAsia="zh-CN"/>
        </w:rPr>
        <w:t>企业应严格落实产能置换方案，</w:t>
      </w:r>
      <w:r>
        <w:rPr>
          <w:rFonts w:ascii="仿宋_GB2312" w:hAnsi="仿宋_GB2312" w:eastAsia="仿宋_GB2312" w:cs="仿宋_GB2312"/>
          <w:color w:val="000000"/>
          <w:kern w:val="0"/>
          <w:sz w:val="32"/>
          <w:szCs w:val="32"/>
        </w:rPr>
        <w:t>用于置换的</w:t>
      </w:r>
      <w:r>
        <w:rPr>
          <w:rFonts w:hint="eastAsia" w:ascii="仿宋_GB2312" w:hAnsi="仿宋_GB2312" w:eastAsia="仿宋_GB2312" w:cs="仿宋_GB2312"/>
          <w:color w:val="000000"/>
          <w:kern w:val="0"/>
          <w:sz w:val="32"/>
          <w:szCs w:val="32"/>
        </w:rPr>
        <w:t>退出产能停产</w:t>
      </w:r>
      <w:r>
        <w:rPr>
          <w:rFonts w:hint="eastAsia" w:ascii="仿宋_GB2312" w:hAnsi="仿宋_GB2312" w:eastAsia="仿宋_GB2312" w:cs="仿宋_GB2312"/>
          <w:color w:val="000000"/>
          <w:kern w:val="0"/>
          <w:sz w:val="32"/>
          <w:szCs w:val="32"/>
          <w:lang w:val="en-US" w:eastAsia="zh-CN"/>
        </w:rPr>
        <w:t>前</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建设项目不得投产。</w:t>
      </w:r>
      <w:r>
        <w:rPr>
          <w:rFonts w:hint="eastAsia" w:ascii="仿宋_GB2312" w:hAnsi="仿宋_GB2312" w:eastAsia="仿宋_GB2312" w:cs="仿宋_GB2312"/>
          <w:color w:val="000000"/>
          <w:sz w:val="32"/>
          <w:szCs w:val="32"/>
        </w:rPr>
        <w:t>项目建设</w:t>
      </w:r>
      <w:r>
        <w:rPr>
          <w:rFonts w:hint="eastAsia" w:ascii="仿宋_GB2312" w:hAnsi="仿宋_GB2312" w:eastAsia="仿宋_GB2312" w:cs="仿宋_GB2312"/>
          <w:color w:val="000000"/>
          <w:sz w:val="32"/>
          <w:szCs w:val="32"/>
          <w:lang w:val="en-US" w:eastAsia="zh-CN"/>
        </w:rPr>
        <w:t>企业</w:t>
      </w:r>
      <w:r>
        <w:rPr>
          <w:rFonts w:hint="eastAsia" w:ascii="仿宋_GB2312" w:hAnsi="仿宋_GB2312" w:eastAsia="仿宋_GB2312" w:cs="仿宋_GB2312"/>
          <w:color w:val="000000"/>
          <w:sz w:val="32"/>
          <w:szCs w:val="32"/>
        </w:rPr>
        <w:t>所在设区市</w:t>
      </w:r>
      <w:r>
        <w:rPr>
          <w:rFonts w:hint="eastAsia" w:ascii="仿宋_GB2312" w:hAnsi="仿宋_GB2312" w:eastAsia="仿宋_GB2312" w:cs="仿宋_GB2312"/>
          <w:color w:val="000000"/>
          <w:kern w:val="0"/>
          <w:sz w:val="32"/>
          <w:szCs w:val="32"/>
          <w:lang w:bidi="ar"/>
        </w:rPr>
        <w:t>工业和信息化</w:t>
      </w:r>
      <w:r>
        <w:rPr>
          <w:rFonts w:hint="eastAsia" w:ascii="仿宋_GB2312" w:hAnsi="仿宋_GB2312" w:eastAsia="仿宋_GB2312" w:cs="仿宋_GB2312"/>
          <w:color w:val="000000"/>
          <w:kern w:val="0"/>
          <w:sz w:val="32"/>
          <w:szCs w:val="32"/>
          <w:lang w:val="en-US" w:eastAsia="zh-CN" w:bidi="ar"/>
        </w:rPr>
        <w:t>局</w:t>
      </w:r>
      <w:r>
        <w:rPr>
          <w:rFonts w:hint="eastAsia" w:ascii="仿宋_GB2312" w:hAnsi="仿宋_GB2312" w:eastAsia="仿宋_GB2312" w:cs="仿宋_GB2312"/>
          <w:color w:val="000000"/>
          <w:kern w:val="0"/>
          <w:sz w:val="32"/>
          <w:szCs w:val="32"/>
          <w:lang w:bidi="ar"/>
        </w:rPr>
        <w:t>负责监督</w:t>
      </w:r>
      <w:r>
        <w:rPr>
          <w:rFonts w:hint="eastAsia" w:ascii="仿宋_GB2312" w:hAnsi="仿宋_GB2312" w:eastAsia="仿宋_GB2312" w:cs="仿宋_GB2312"/>
          <w:color w:val="000000"/>
          <w:kern w:val="0"/>
          <w:sz w:val="32"/>
          <w:szCs w:val="32"/>
          <w:lang w:val="en-US" w:eastAsia="zh-CN" w:bidi="ar"/>
        </w:rPr>
        <w:t>建设</w:t>
      </w:r>
      <w:r>
        <w:rPr>
          <w:rFonts w:hint="eastAsia" w:ascii="仿宋_GB2312" w:hAnsi="仿宋_GB2312" w:eastAsia="仿宋_GB2312" w:cs="仿宋_GB2312"/>
          <w:color w:val="000000"/>
          <w:kern w:val="0"/>
          <w:sz w:val="32"/>
          <w:szCs w:val="32"/>
          <w:lang w:bidi="ar"/>
        </w:rPr>
        <w:t>项目产能置换方案的落实</w:t>
      </w:r>
      <w:r>
        <w:rPr>
          <w:rFonts w:hint="eastAsia" w:ascii="仿宋_GB2312" w:hAnsi="仿宋_GB2312" w:eastAsia="仿宋_GB2312" w:cs="仿宋_GB2312"/>
          <w:color w:val="000000"/>
          <w:kern w:val="0"/>
          <w:sz w:val="32"/>
          <w:szCs w:val="32"/>
          <w:lang w:eastAsia="zh-CN" w:bidi="ar"/>
        </w:rPr>
        <w:t>。</w:t>
      </w:r>
    </w:p>
    <w:p>
      <w:pPr>
        <w:adjustRightInd w:val="0"/>
        <w:snapToGrid w:val="0"/>
        <w:spacing w:line="560" w:lineRule="exact"/>
        <w:ind w:firstLine="640" w:firstLineChars="200"/>
        <w:rPr>
          <w:rFonts w:hint="eastAsia" w:ascii="仿宋_GB2312" w:hAnsi="仿宋_GB2312" w:eastAsia="仿宋_GB2312" w:cs="仿宋_GB2312"/>
          <w:color w:val="000000"/>
          <w:kern w:val="2"/>
          <w:sz w:val="32"/>
          <w:szCs w:val="32"/>
          <w:lang w:eastAsia="zh-CN"/>
        </w:rPr>
      </w:pPr>
      <w:r>
        <w:rPr>
          <w:rFonts w:hint="eastAsia" w:ascii="黑体" w:hAnsi="黑体" w:eastAsia="黑体" w:cs="黑体"/>
          <w:color w:val="333333"/>
          <w:sz w:val="32"/>
          <w:szCs w:val="32"/>
        </w:rPr>
        <w:t>第十</w:t>
      </w:r>
      <w:r>
        <w:rPr>
          <w:rFonts w:hint="eastAsia" w:ascii="黑体" w:hAnsi="黑体" w:eastAsia="黑体" w:cs="黑体"/>
          <w:color w:val="333333"/>
          <w:sz w:val="32"/>
          <w:szCs w:val="32"/>
          <w:highlight w:val="none"/>
          <w:lang w:val="en-US" w:eastAsia="zh-CN"/>
        </w:rPr>
        <w:t>三</w:t>
      </w:r>
      <w:r>
        <w:rPr>
          <w:rFonts w:hint="eastAsia" w:ascii="黑体" w:hAnsi="黑体" w:eastAsia="黑体" w:cs="黑体"/>
          <w:color w:val="333333"/>
          <w:sz w:val="32"/>
          <w:szCs w:val="32"/>
        </w:rPr>
        <w:t>条</w:t>
      </w:r>
      <w:r>
        <w:rPr>
          <w:rFonts w:hint="eastAsia" w:ascii="仿宋_GB2312" w:hAnsi="仿宋" w:eastAsia="仿宋_GB2312" w:cs="仿宋"/>
          <w:sz w:val="32"/>
          <w:szCs w:val="32"/>
        </w:rPr>
        <w:t xml:space="preserve">  </w:t>
      </w:r>
      <w:r>
        <w:rPr>
          <w:rFonts w:ascii="仿宋_GB2312" w:hAnsi="仿宋_GB2312" w:eastAsia="仿宋_GB2312" w:cs="仿宋_GB2312"/>
          <w:color w:val="000000"/>
          <w:kern w:val="0"/>
          <w:sz w:val="32"/>
          <w:szCs w:val="32"/>
        </w:rPr>
        <w:t>建设项目投产</w:t>
      </w:r>
      <w:r>
        <w:rPr>
          <w:rFonts w:hint="eastAsia" w:ascii="仿宋_GB2312" w:hAnsi="仿宋_GB2312" w:eastAsia="仿宋_GB2312" w:cs="仿宋_GB2312"/>
          <w:color w:val="000000"/>
          <w:kern w:val="0"/>
          <w:sz w:val="32"/>
          <w:szCs w:val="32"/>
        </w:rPr>
        <w:t>前</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lang w:val="en-US" w:eastAsia="zh-CN"/>
        </w:rPr>
        <w:t>用于置换的产能主要设备</w:t>
      </w:r>
      <w:r>
        <w:rPr>
          <w:rFonts w:ascii="仿宋_GB2312" w:hAnsi="仿宋_GB2312" w:eastAsia="仿宋_GB2312" w:cs="仿宋_GB2312"/>
          <w:color w:val="000000"/>
          <w:kern w:val="0"/>
          <w:sz w:val="32"/>
          <w:szCs w:val="32"/>
        </w:rPr>
        <w:t>必须</w:t>
      </w:r>
      <w:r>
        <w:rPr>
          <w:rFonts w:hint="eastAsia" w:ascii="仿宋_GB2312" w:hAnsi="仿宋_GB2312" w:eastAsia="仿宋_GB2312" w:cs="仿宋_GB2312"/>
          <w:color w:val="000000"/>
          <w:kern w:val="0"/>
          <w:sz w:val="32"/>
          <w:szCs w:val="32"/>
        </w:rPr>
        <w:t>停产</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2"/>
          <w:sz w:val="32"/>
          <w:szCs w:val="32"/>
          <w:lang w:val="en-US" w:eastAsia="zh-CN"/>
        </w:rPr>
        <w:t>实现</w:t>
      </w:r>
      <w:r>
        <w:rPr>
          <w:rFonts w:hint="eastAsia" w:ascii="仿宋_GB2312" w:hAnsi="仿宋_GB2312" w:eastAsia="仿宋_GB2312" w:cs="仿宋_GB2312"/>
          <w:color w:val="000000"/>
          <w:kern w:val="0"/>
          <w:sz w:val="32"/>
          <w:szCs w:val="32"/>
        </w:rPr>
        <w:t>断水、断电，且不具备重启条件</w:t>
      </w:r>
      <w:r>
        <w:rPr>
          <w:rFonts w:hint="eastAsia" w:ascii="仿宋_GB2312" w:hAnsi="仿宋_GB2312" w:eastAsia="仿宋_GB2312" w:cs="仿宋_GB2312"/>
          <w:color w:val="000000"/>
          <w:kern w:val="2"/>
          <w:sz w:val="32"/>
          <w:szCs w:val="32"/>
          <w:lang w:eastAsia="zh-CN"/>
        </w:rPr>
        <w:t>；</w:t>
      </w:r>
      <w:r>
        <w:rPr>
          <w:rFonts w:ascii="仿宋_GB2312" w:hAnsi="仿宋_GB2312" w:eastAsia="仿宋_GB2312" w:cs="仿宋_GB2312"/>
          <w:color w:val="000000"/>
          <w:kern w:val="0"/>
          <w:sz w:val="32"/>
          <w:szCs w:val="32"/>
        </w:rPr>
        <w:t>建设项目投产</w:t>
      </w:r>
      <w:r>
        <w:rPr>
          <w:rFonts w:hint="eastAsia" w:ascii="仿宋_GB2312" w:hAnsi="仿宋_GB2312" w:eastAsia="仿宋_GB2312" w:cs="仿宋_GB2312"/>
          <w:color w:val="000000"/>
          <w:kern w:val="2"/>
          <w:sz w:val="32"/>
          <w:szCs w:val="32"/>
          <w:lang w:eastAsia="zh-CN"/>
        </w:rPr>
        <w:t>后</w:t>
      </w:r>
      <w:r>
        <w:rPr>
          <w:rFonts w:hint="eastAsia" w:ascii="仿宋_GB2312" w:hAnsi="仿宋_GB2312" w:eastAsia="仿宋_GB2312" w:cs="仿宋_GB2312"/>
          <w:color w:val="000000"/>
          <w:kern w:val="0"/>
          <w:sz w:val="32"/>
          <w:szCs w:val="32"/>
        </w:rPr>
        <w:t>半年</w:t>
      </w:r>
      <w:r>
        <w:rPr>
          <w:rFonts w:ascii="仿宋_GB2312" w:hAnsi="仿宋_GB2312" w:eastAsia="仿宋_GB2312" w:cs="仿宋_GB2312"/>
          <w:color w:val="000000"/>
          <w:kern w:val="0"/>
          <w:sz w:val="32"/>
          <w:szCs w:val="32"/>
        </w:rPr>
        <w:t>内</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lang w:val="en-US" w:eastAsia="zh-CN"/>
        </w:rPr>
        <w:t>用于置换的产能主要设备应完成</w:t>
      </w:r>
      <w:r>
        <w:rPr>
          <w:rFonts w:ascii="仿宋_GB2312" w:hAnsi="仿宋_GB2312" w:eastAsia="仿宋_GB2312" w:cs="仿宋_GB2312"/>
          <w:color w:val="000000"/>
          <w:kern w:val="0"/>
          <w:sz w:val="32"/>
          <w:szCs w:val="32"/>
        </w:rPr>
        <w:t>拆除</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lang w:val="en-US" w:eastAsia="zh-CN"/>
        </w:rPr>
        <w:t>关停拆除</w:t>
      </w:r>
      <w:r>
        <w:rPr>
          <w:rFonts w:hint="eastAsia" w:ascii="仿宋_GB2312" w:hAnsi="仿宋_GB2312" w:eastAsia="仿宋_GB2312" w:cs="仿宋_GB2312"/>
          <w:color w:val="000000"/>
          <w:kern w:val="0"/>
          <w:sz w:val="32"/>
          <w:szCs w:val="32"/>
        </w:rPr>
        <w:t>进展</w:t>
      </w:r>
      <w:r>
        <w:rPr>
          <w:rFonts w:hint="eastAsia" w:ascii="仿宋_GB2312" w:hAnsi="仿宋_GB2312" w:eastAsia="仿宋_GB2312" w:cs="仿宋_GB2312"/>
          <w:color w:val="000000"/>
          <w:kern w:val="2"/>
          <w:sz w:val="32"/>
          <w:szCs w:val="32"/>
          <w:lang w:val="en-US" w:eastAsia="zh-CN"/>
        </w:rPr>
        <w:t>应及时</w:t>
      </w:r>
      <w:r>
        <w:rPr>
          <w:rFonts w:hint="eastAsia" w:ascii="仿宋_GB2312" w:hAnsi="仿宋_GB2312" w:eastAsia="仿宋_GB2312" w:cs="仿宋_GB2312"/>
          <w:color w:val="000000"/>
          <w:kern w:val="0"/>
          <w:sz w:val="32"/>
          <w:szCs w:val="32"/>
        </w:rPr>
        <w:t>向所在</w:t>
      </w:r>
      <w:r>
        <w:rPr>
          <w:rFonts w:hint="eastAsia" w:ascii="仿宋_GB2312" w:hAnsi="仿宋_GB2312" w:eastAsia="仿宋_GB2312" w:cs="仿宋_GB2312"/>
          <w:color w:val="000000"/>
          <w:kern w:val="2"/>
          <w:sz w:val="32"/>
          <w:szCs w:val="32"/>
          <w:lang w:eastAsia="zh-CN"/>
        </w:rPr>
        <w:t>设区市</w:t>
      </w:r>
      <w:r>
        <w:rPr>
          <w:rFonts w:hint="eastAsia" w:ascii="仿宋_GB2312" w:hAnsi="仿宋_GB2312" w:eastAsia="仿宋_GB2312" w:cs="仿宋_GB2312"/>
          <w:color w:val="000000"/>
          <w:kern w:val="0"/>
          <w:sz w:val="32"/>
          <w:szCs w:val="32"/>
        </w:rPr>
        <w:t>工业和信息化</w:t>
      </w:r>
      <w:r>
        <w:rPr>
          <w:rFonts w:hint="eastAsia" w:ascii="仿宋_GB2312" w:hAnsi="仿宋_GB2312" w:eastAsia="仿宋_GB2312" w:cs="仿宋_GB2312"/>
          <w:color w:val="000000"/>
          <w:kern w:val="2"/>
          <w:sz w:val="32"/>
          <w:szCs w:val="32"/>
          <w:lang w:eastAsia="zh-CN"/>
        </w:rPr>
        <w:t>局</w:t>
      </w:r>
      <w:r>
        <w:rPr>
          <w:rFonts w:hint="eastAsia" w:ascii="仿宋_GB2312" w:hAnsi="仿宋_GB2312" w:eastAsia="仿宋_GB2312" w:cs="仿宋_GB2312"/>
          <w:color w:val="000000"/>
          <w:kern w:val="0"/>
          <w:sz w:val="32"/>
          <w:szCs w:val="32"/>
        </w:rPr>
        <w:t>报告</w:t>
      </w:r>
      <w:r>
        <w:rPr>
          <w:rFonts w:hint="eastAsia" w:ascii="仿宋_GB2312" w:hAnsi="仿宋_GB2312" w:eastAsia="仿宋_GB2312" w:cs="仿宋_GB2312"/>
          <w:color w:val="000000"/>
          <w:kern w:val="2"/>
          <w:sz w:val="32"/>
          <w:szCs w:val="32"/>
          <w:lang w:eastAsia="zh-CN"/>
        </w:rPr>
        <w:t>。</w:t>
      </w:r>
    </w:p>
    <w:p>
      <w:pPr>
        <w:numPr>
          <w:ilvl w:val="0"/>
          <w:numId w:val="0"/>
        </w:numPr>
        <w:adjustRightInd w:val="0"/>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val="0"/>
          <w:bCs w:val="0"/>
          <w:color w:val="000000"/>
          <w:kern w:val="2"/>
          <w:sz w:val="32"/>
          <w:szCs w:val="32"/>
          <w:lang w:val="en-US" w:eastAsia="zh-CN"/>
        </w:rPr>
        <w:t>法院查封的设备视同关停，待具备条件后立即拆除。</w:t>
      </w:r>
    </w:p>
    <w:p>
      <w:pPr>
        <w:adjustRightInd w:val="0"/>
        <w:snapToGrid w:val="0"/>
        <w:spacing w:line="560" w:lineRule="exact"/>
        <w:ind w:firstLine="640" w:firstLineChars="200"/>
        <w:rPr>
          <w:rFonts w:hint="default" w:ascii="仿宋_GB2312" w:hAnsi="仿宋_GB2312" w:eastAsia="仿宋_GB2312" w:cs="仿宋_GB2312"/>
          <w:b w:val="0"/>
          <w:bCs w:val="0"/>
          <w:color w:val="000000"/>
          <w:kern w:val="0"/>
          <w:sz w:val="32"/>
          <w:szCs w:val="32"/>
          <w:lang w:eastAsia="zh-CN"/>
        </w:rPr>
      </w:pPr>
      <w:r>
        <w:rPr>
          <w:rFonts w:hint="eastAsia" w:ascii="黑体" w:hAnsi="黑体" w:eastAsia="黑体" w:cs="黑体"/>
          <w:color w:val="333333"/>
          <w:sz w:val="32"/>
          <w:szCs w:val="32"/>
        </w:rPr>
        <w:t>第</w:t>
      </w:r>
      <w:r>
        <w:rPr>
          <w:rFonts w:hint="eastAsia" w:ascii="黑体" w:hAnsi="黑体" w:eastAsia="黑体" w:cs="黑体"/>
          <w:color w:val="333333"/>
          <w:sz w:val="32"/>
          <w:szCs w:val="32"/>
          <w:lang w:eastAsia="zh-CN"/>
        </w:rPr>
        <w:t>十四</w:t>
      </w:r>
      <w:r>
        <w:rPr>
          <w:rFonts w:hint="eastAsia" w:ascii="黑体" w:hAnsi="黑体" w:eastAsia="黑体" w:cs="黑体"/>
          <w:color w:val="333333"/>
          <w:sz w:val="32"/>
          <w:szCs w:val="32"/>
        </w:rPr>
        <w:t xml:space="preserve">条  </w:t>
      </w:r>
      <w:r>
        <w:rPr>
          <w:rFonts w:hint="default" w:ascii="仿宋_GB2312" w:hAnsi="仿宋_GB2312" w:eastAsia="仿宋_GB2312" w:cs="仿宋_GB2312"/>
          <w:color w:val="000000"/>
          <w:kern w:val="0"/>
          <w:sz w:val="32"/>
          <w:szCs w:val="32"/>
          <w:lang w:eastAsia="zh-CN"/>
        </w:rPr>
        <w:t>设区市</w:t>
      </w:r>
      <w:r>
        <w:rPr>
          <w:rFonts w:hint="eastAsia" w:ascii="仿宋_GB2312" w:hAnsi="仿宋_GB2312" w:eastAsia="仿宋_GB2312" w:cs="仿宋_GB2312"/>
          <w:color w:val="000000"/>
          <w:kern w:val="0"/>
          <w:sz w:val="32"/>
          <w:szCs w:val="32"/>
        </w:rPr>
        <w:t>工业和信息化</w:t>
      </w:r>
      <w:r>
        <w:rPr>
          <w:rFonts w:hint="default" w:ascii="仿宋_GB2312" w:hAnsi="仿宋_GB2312" w:eastAsia="仿宋_GB2312" w:cs="仿宋_GB2312"/>
          <w:color w:val="000000"/>
          <w:kern w:val="0"/>
          <w:sz w:val="32"/>
          <w:szCs w:val="32"/>
          <w:lang w:eastAsia="zh-CN"/>
        </w:rPr>
        <w:t>局</w:t>
      </w:r>
      <w:r>
        <w:rPr>
          <w:rFonts w:hint="default" w:ascii="仿宋_GB2312" w:hAnsi="仿宋_GB2312" w:eastAsia="仿宋_GB2312" w:cs="仿宋_GB2312"/>
          <w:b w:val="0"/>
          <w:bCs w:val="0"/>
          <w:color w:val="000000"/>
          <w:kern w:val="0"/>
          <w:sz w:val="32"/>
          <w:szCs w:val="32"/>
          <w:lang w:val="en-US" w:eastAsia="zh-CN"/>
        </w:rPr>
        <w:t>对</w:t>
      </w:r>
      <w:r>
        <w:rPr>
          <w:rFonts w:hint="eastAsia" w:ascii="仿宋_GB2312" w:hAnsi="仿宋_GB2312" w:eastAsia="仿宋_GB2312" w:cs="仿宋_GB2312"/>
          <w:b w:val="0"/>
          <w:bCs w:val="0"/>
          <w:color w:val="000000"/>
          <w:kern w:val="0"/>
          <w:sz w:val="32"/>
          <w:szCs w:val="32"/>
          <w:lang w:val="en-US" w:eastAsia="zh-CN"/>
        </w:rPr>
        <w:t>产能</w:t>
      </w:r>
      <w:r>
        <w:rPr>
          <w:rFonts w:hint="default" w:ascii="仿宋_GB2312" w:hAnsi="仿宋_GB2312" w:eastAsia="仿宋_GB2312" w:cs="仿宋_GB2312"/>
          <w:b w:val="0"/>
          <w:bCs w:val="0"/>
          <w:color w:val="000000"/>
          <w:kern w:val="0"/>
          <w:sz w:val="32"/>
          <w:szCs w:val="32"/>
          <w:lang w:val="en-US" w:eastAsia="zh-CN"/>
        </w:rPr>
        <w:t>置换方案落实执行情况进行督查，对退出产能</w:t>
      </w:r>
      <w:r>
        <w:rPr>
          <w:rFonts w:hint="eastAsia" w:ascii="仿宋_GB2312" w:hAnsi="仿宋_GB2312" w:eastAsia="仿宋_GB2312" w:cs="仿宋_GB2312"/>
          <w:color w:val="000000"/>
          <w:kern w:val="0"/>
          <w:sz w:val="32"/>
          <w:szCs w:val="32"/>
          <w:lang w:val="en-US" w:eastAsia="zh-CN"/>
        </w:rPr>
        <w:t>主要</w:t>
      </w:r>
      <w:r>
        <w:rPr>
          <w:rFonts w:hint="eastAsia" w:ascii="仿宋_GB2312" w:hAnsi="仿宋_GB2312" w:eastAsia="仿宋_GB2312" w:cs="仿宋_GB2312"/>
          <w:color w:val="000000"/>
          <w:kern w:val="0"/>
          <w:sz w:val="32"/>
          <w:szCs w:val="32"/>
        </w:rPr>
        <w:t>设备</w:t>
      </w:r>
      <w:r>
        <w:rPr>
          <w:rFonts w:hint="default" w:ascii="仿宋_GB2312" w:hAnsi="仿宋_GB2312" w:eastAsia="仿宋_GB2312" w:cs="仿宋_GB2312"/>
          <w:color w:val="000000"/>
          <w:kern w:val="0"/>
          <w:sz w:val="32"/>
          <w:szCs w:val="32"/>
          <w:lang w:val="en-US" w:eastAsia="zh-CN"/>
        </w:rPr>
        <w:t>关停及拆除情况进行现场核验确认</w:t>
      </w:r>
      <w:r>
        <w:rPr>
          <w:rFonts w:hint="eastAsia" w:ascii="仿宋_GB2312" w:hAnsi="仿宋_GB2312" w:eastAsia="仿宋_GB2312" w:cs="仿宋_GB2312"/>
          <w:color w:val="000000"/>
          <w:kern w:val="0"/>
          <w:sz w:val="32"/>
          <w:szCs w:val="32"/>
          <w:lang w:val="en-US" w:eastAsia="zh-CN"/>
        </w:rPr>
        <w:t>，并向省工业和信息化厅报告</w:t>
      </w:r>
      <w:r>
        <w:rPr>
          <w:rFonts w:hint="default" w:ascii="仿宋_GB2312" w:hAnsi="仿宋_GB2312" w:eastAsia="仿宋_GB2312" w:cs="仿宋_GB2312"/>
          <w:b w:val="0"/>
          <w:bCs w:val="0"/>
          <w:color w:val="000000"/>
          <w:kern w:val="0"/>
          <w:sz w:val="32"/>
          <w:szCs w:val="32"/>
          <w:lang w:eastAsia="zh-CN"/>
        </w:rPr>
        <w:t>。</w:t>
      </w:r>
    </w:p>
    <w:p>
      <w:pPr>
        <w:widowControl/>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对产能置换弄虚作假、</w:t>
      </w:r>
      <w:r>
        <w:rPr>
          <w:rFonts w:ascii="仿宋_GB2312" w:hAnsi="仿宋" w:eastAsia="仿宋_GB2312"/>
          <w:sz w:val="32"/>
          <w:szCs w:val="32"/>
        </w:rPr>
        <w:t>方案落实不到位的企业，依法依规实施联合惩戒。</w:t>
      </w:r>
      <w:r>
        <w:rPr>
          <w:rFonts w:hint="eastAsia" w:ascii="仿宋_GB2312" w:hAnsi="仿宋_GB2312" w:eastAsia="仿宋_GB2312" w:cs="仿宋_GB2312"/>
          <w:color w:val="000000"/>
          <w:sz w:val="32"/>
          <w:szCs w:val="32"/>
        </w:rPr>
        <w:t>对核实把关不严、监督落实不到位的单位和个人，责令限期整改，</w:t>
      </w:r>
      <w:r>
        <w:rPr>
          <w:rFonts w:hint="eastAsia" w:ascii="仿宋_GB2312" w:hAnsi="仿宋_GB2312" w:eastAsia="仿宋_GB2312" w:cs="仿宋_GB2312"/>
          <w:color w:val="000000"/>
          <w:sz w:val="32"/>
          <w:szCs w:val="32"/>
          <w:lang w:val="en-US" w:eastAsia="zh-CN"/>
        </w:rPr>
        <w:t>情节严重的</w:t>
      </w:r>
      <w:r>
        <w:rPr>
          <w:rFonts w:hint="eastAsia" w:ascii="仿宋_GB2312" w:hAnsi="仿宋_GB2312" w:eastAsia="仿宋_GB2312" w:cs="仿宋_GB2312"/>
          <w:color w:val="000000"/>
          <w:sz w:val="32"/>
          <w:szCs w:val="32"/>
        </w:rPr>
        <w:t>依照有关规定追究相关责任人的责任。</w:t>
      </w:r>
    </w:p>
    <w:p>
      <w:pPr>
        <w:widowControl/>
        <w:snapToGrid w:val="0"/>
        <w:spacing w:line="560" w:lineRule="exact"/>
        <w:jc w:val="center"/>
        <w:rPr>
          <w:rFonts w:hint="eastAsia"/>
        </w:rPr>
      </w:pPr>
      <w:r>
        <w:rPr>
          <w:rFonts w:hint="eastAsia" w:ascii="黑体" w:hAnsi="黑体" w:eastAsia="黑体" w:cs="黑体"/>
          <w:color w:val="auto"/>
          <w:sz w:val="32"/>
          <w:szCs w:val="32"/>
          <w:lang w:eastAsia="zh-CN"/>
        </w:rPr>
        <w:t>附</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则</w:t>
      </w:r>
    </w:p>
    <w:p>
      <w:pPr>
        <w:widowControl/>
        <w:adjustRightInd w:val="0"/>
        <w:snapToGrid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国家、省对重大项目及其配套项目另有规定的，从其规定。</w:t>
      </w:r>
    </w:p>
    <w:p>
      <w:pPr>
        <w:adjustRightInd/>
        <w:snapToGrid w:val="0"/>
        <w:spacing w:line="560" w:lineRule="exact"/>
        <w:ind w:firstLine="640" w:firstLineChars="200"/>
        <w:rPr>
          <w:rFonts w:hint="eastAsia" w:ascii="仿宋_GB2312" w:hAnsi="仿宋_GB2312" w:eastAsia="仿宋_GB2312" w:cs="仿宋_GB2312"/>
          <w:color w:val="000000"/>
          <w:sz w:val="32"/>
          <w:szCs w:val="32"/>
        </w:rPr>
        <w:sectPr>
          <w:footerReference r:id="rId3" w:type="default"/>
          <w:pgSz w:w="11906" w:h="16838"/>
          <w:pgMar w:top="1701" w:right="1587" w:bottom="1417" w:left="1587" w:header="851" w:footer="567" w:gutter="0"/>
          <w:pgBorders>
            <w:top w:val="none" w:sz="0" w:space="0"/>
            <w:left w:val="none" w:sz="0" w:space="0"/>
            <w:bottom w:val="none" w:sz="0" w:space="0"/>
            <w:right w:val="none" w:sz="0" w:space="0"/>
          </w:pgBorders>
          <w:pgNumType w:fmt="numberInDash" w:start="1"/>
          <w:cols w:space="425" w:num="1"/>
          <w:docGrid w:type="lines" w:linePitch="312" w:charSpace="0"/>
        </w:sectPr>
      </w:pPr>
      <w:r>
        <w:rPr>
          <w:rFonts w:hint="eastAsia" w:ascii="黑体" w:hAnsi="黑体" w:eastAsia="黑体" w:cs="黑体"/>
          <w:color w:val="333333"/>
          <w:sz w:val="32"/>
          <w:szCs w:val="32"/>
        </w:rPr>
        <w:t>第十</w:t>
      </w:r>
      <w:r>
        <w:rPr>
          <w:rFonts w:hint="eastAsia" w:ascii="黑体" w:hAnsi="黑体" w:eastAsia="黑体" w:cs="黑体"/>
          <w:color w:val="333333"/>
          <w:sz w:val="32"/>
          <w:szCs w:val="32"/>
          <w:lang w:val="en-US" w:eastAsia="zh-CN"/>
        </w:rPr>
        <w:t>七</w:t>
      </w:r>
      <w:r>
        <w:rPr>
          <w:rFonts w:hint="eastAsia" w:ascii="黑体" w:hAnsi="黑体" w:eastAsia="黑体" w:cs="黑体"/>
          <w:color w:val="333333"/>
          <w:sz w:val="32"/>
          <w:szCs w:val="32"/>
        </w:rPr>
        <w:t>条</w:t>
      </w:r>
      <w:r>
        <w:rPr>
          <w:rFonts w:hint="eastAsia" w:ascii="仿宋_GB2312" w:hAnsi="仿宋" w:eastAsia="仿宋_GB2312" w:cs="仿宋"/>
          <w:sz w:val="32"/>
          <w:szCs w:val="32"/>
        </w:rPr>
        <w:t xml:space="preserve">  </w:t>
      </w:r>
      <w:r>
        <w:rPr>
          <w:rFonts w:ascii="仿宋_GB2312" w:hAnsi="仿宋_GB2312" w:eastAsia="仿宋_GB2312" w:cs="仿宋_GB2312"/>
          <w:color w:val="000000"/>
          <w:sz w:val="32"/>
          <w:szCs w:val="32"/>
        </w:rPr>
        <w:t>本办法</w:t>
      </w:r>
      <w:r>
        <w:rPr>
          <w:rFonts w:hint="eastAsia" w:ascii="仿宋_GB2312" w:hAnsi="仿宋_GB2312" w:eastAsia="仿宋_GB2312" w:cs="仿宋_GB2312"/>
          <w:color w:val="000000"/>
          <w:sz w:val="32"/>
          <w:szCs w:val="32"/>
          <w:lang w:val="en-US" w:eastAsia="zh-CN"/>
        </w:rPr>
        <w:t>由</w:t>
      </w:r>
      <w:r>
        <w:rPr>
          <w:rFonts w:hint="eastAsia" w:ascii="仿宋_GB2312" w:hAnsi="仿宋_GB2312" w:eastAsia="仿宋_GB2312" w:cs="仿宋_GB2312"/>
          <w:color w:val="000000"/>
          <w:sz w:val="32"/>
          <w:szCs w:val="32"/>
        </w:rPr>
        <w:t>山东省工业和信息化厅</w:t>
      </w:r>
      <w:r>
        <w:rPr>
          <w:rFonts w:hint="eastAsia" w:ascii="仿宋_GB2312" w:hAnsi="仿宋_GB2312" w:eastAsia="仿宋_GB2312" w:cs="仿宋_GB2312"/>
          <w:color w:val="000000"/>
          <w:sz w:val="32"/>
          <w:szCs w:val="32"/>
          <w:lang w:eastAsia="zh-CN"/>
        </w:rPr>
        <w:t>、山东省发展和改革委员会、山东省自然资源厅、山东省生态环境厅</w:t>
      </w:r>
      <w:r>
        <w:rPr>
          <w:rFonts w:hint="eastAsia" w:ascii="仿宋_GB2312" w:hAnsi="仿宋_GB2312" w:eastAsia="仿宋_GB2312" w:cs="仿宋_GB2312"/>
          <w:color w:val="000000"/>
          <w:sz w:val="32"/>
          <w:szCs w:val="32"/>
          <w:lang w:val="en-US" w:eastAsia="zh-CN"/>
        </w:rPr>
        <w:t>和山东省应急管理厅负责</w:t>
      </w:r>
      <w:r>
        <w:rPr>
          <w:rFonts w:hint="eastAsia" w:ascii="仿宋_GB2312" w:hAnsi="仿宋_GB2312" w:eastAsia="仿宋_GB2312" w:cs="仿宋_GB2312"/>
          <w:color w:val="000000"/>
          <w:sz w:val="32"/>
          <w:szCs w:val="32"/>
        </w:rPr>
        <w:t>解释</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有效期自202</w:t>
      </w:r>
      <w:r>
        <w:rPr>
          <w:rFonts w:hint="eastAsia" w:ascii="仿宋_GB2312" w:hAnsi="仿宋_GB2312" w:eastAsia="仿宋_GB2312" w:cs="仿宋_GB2312"/>
          <w:color w:val="000000"/>
          <w:sz w:val="32"/>
          <w:szCs w:val="32"/>
          <w:lang w:val="en-US" w:eastAsia="zh-CN"/>
        </w:rPr>
        <w:t>4</w:t>
      </w:r>
      <w:r>
        <w:rPr>
          <w:rFonts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sz w:val="32"/>
          <w:szCs w:val="32"/>
        </w:rPr>
        <w:t>日起，至202</w:t>
      </w:r>
      <w:r>
        <w:rPr>
          <w:rFonts w:hint="eastAsia" w:ascii="仿宋_GB2312" w:hAnsi="仿宋_GB2312" w:eastAsia="仿宋_GB2312" w:cs="仿宋_GB2312"/>
          <w:color w:val="000000"/>
          <w:sz w:val="32"/>
          <w:szCs w:val="32"/>
          <w:lang w:val="en-US" w:eastAsia="zh-CN"/>
        </w:rPr>
        <w:t>8</w:t>
      </w:r>
      <w:r>
        <w:rPr>
          <w:rFonts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sz w:val="32"/>
          <w:szCs w:val="32"/>
        </w:rPr>
        <w:t>日止</w:t>
      </w:r>
      <w:r>
        <w:rPr>
          <w:rFonts w:hint="eastAsia" w:ascii="仿宋_GB2312" w:hAnsi="仿宋_GB2312" w:eastAsia="仿宋_GB2312" w:cs="仿宋_GB2312"/>
          <w:color w:val="000000"/>
          <w:sz w:val="32"/>
          <w:szCs w:val="32"/>
        </w:rPr>
        <w:t>。</w:t>
      </w:r>
      <w:bookmarkStart w:id="0" w:name="_GoBack"/>
      <w:bookmarkEnd w:id="0"/>
    </w:p>
    <w:p>
      <w:pPr>
        <w:snapToGrid w:val="0"/>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pPr>
        <w:snapToGrid w:val="0"/>
        <w:spacing w:line="560" w:lineRule="exact"/>
        <w:ind w:firstLine="0" w:firstLineChars="0"/>
        <w:rPr>
          <w:rFonts w:hint="eastAsia" w:ascii="仿宋_GB2312" w:hAnsi="仿宋_GB2312" w:eastAsia="仿宋_GB2312" w:cs="仿宋_GB2312"/>
          <w:color w:val="000000"/>
          <w:sz w:val="32"/>
          <w:szCs w:val="32"/>
          <w:lang w:val="en-US" w:eastAsia="zh-CN"/>
        </w:rPr>
      </w:pPr>
    </w:p>
    <w:p>
      <w:pPr>
        <w:snapToGrid w:val="0"/>
        <w:spacing w:line="560" w:lineRule="exact"/>
        <w:ind w:firstLine="0" w:firstLineChars="0"/>
        <w:jc w:val="center"/>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**建设项目产能置换方案</w:t>
      </w:r>
    </w:p>
    <w:p>
      <w:pPr>
        <w:pStyle w:val="13"/>
        <w:snapToGrid w:val="0"/>
        <w:spacing w:line="560" w:lineRule="exact"/>
        <w:ind w:firstLine="12480" w:firstLineChars="5200"/>
        <w:rPr>
          <w:rFonts w:hint="eastAsia"/>
          <w:lang w:val="en-US" w:eastAsia="zh-CN"/>
        </w:rPr>
      </w:pPr>
      <w:r>
        <w:rPr>
          <w:rFonts w:hint="eastAsia"/>
          <w:lang w:val="en-US" w:eastAsia="zh-CN"/>
        </w:rPr>
        <w:t>单位：</w:t>
      </w:r>
      <w:r>
        <w:rPr>
          <w:rFonts w:hint="eastAsia" w:asciiTheme="minorEastAsia" w:hAnsiTheme="minorEastAsia" w:eastAsiaTheme="minorEastAsia" w:cstheme="minorEastAsia"/>
          <w:color w:val="000000"/>
          <w:kern w:val="0"/>
          <w:sz w:val="24"/>
          <w:szCs w:val="24"/>
          <w:lang w:val="en-US" w:eastAsia="zh-CN" w:bidi="ar"/>
        </w:rPr>
        <w:t>万吨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13"/>
        <w:gridCol w:w="2787"/>
        <w:gridCol w:w="2434"/>
        <w:gridCol w:w="2529"/>
        <w:gridCol w:w="1728"/>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36" w:type="dxa"/>
            <w:gridSpan w:val="7"/>
            <w:vAlign w:val="center"/>
          </w:tcPr>
          <w:p>
            <w:pPr>
              <w:pStyle w:val="13"/>
              <w:widowControl w:val="0"/>
              <w:snapToGrid w:val="0"/>
              <w:spacing w:line="560" w:lineRule="exact"/>
              <w:jc w:val="center"/>
              <w:rPr>
                <w:rFonts w:hint="eastAsia" w:asciiTheme="minorEastAsia" w:hAnsiTheme="minorEastAsia" w:eastAsiaTheme="minorEastAsia" w:cstheme="minorEastAsia"/>
                <w:vertAlign w:val="baseline"/>
                <w:lang w:val="en-US" w:eastAsia="zh-CN"/>
              </w:rPr>
            </w:pPr>
            <w:r>
              <w:rPr>
                <w:rFonts w:hint="eastAsia" w:ascii="黑体" w:hAnsi="黑体" w:eastAsia="黑体" w:cs="黑体"/>
                <w:b w:val="0"/>
                <w:bCs w:val="0"/>
                <w:color w:val="000000"/>
                <w:kern w:val="0"/>
                <w:sz w:val="24"/>
                <w:szCs w:val="24"/>
                <w:lang w:val="en-US" w:eastAsia="zh-CN" w:bidi="ar"/>
              </w:rPr>
              <w:t>建设项目情况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gridSpan w:val="2"/>
            <w:vAlign w:val="center"/>
          </w:tcPr>
          <w:p>
            <w:pPr>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企业名称</w:t>
            </w:r>
          </w:p>
        </w:tc>
        <w:tc>
          <w:tcPr>
            <w:tcW w:w="7750" w:type="dxa"/>
            <w:gridSpan w:val="3"/>
            <w:vAlign w:val="center"/>
          </w:tcPr>
          <w:p>
            <w:pPr>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项目名称</w:t>
            </w:r>
          </w:p>
        </w:tc>
        <w:tc>
          <w:tcPr>
            <w:tcW w:w="3399" w:type="dxa"/>
            <w:gridSpan w:val="2"/>
            <w:vAlign w:val="center"/>
          </w:tcPr>
          <w:p>
            <w:pPr>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建设地点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gridSpan w:val="2"/>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7750" w:type="dxa"/>
            <w:gridSpan w:val="3"/>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3399" w:type="dxa"/>
            <w:gridSpan w:val="2"/>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gridSpan w:val="2"/>
            <w:vAlign w:val="center"/>
          </w:tcPr>
          <w:p>
            <w:pPr>
              <w:widowControl/>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拟建主要设备名称、型号及数量</w:t>
            </w:r>
          </w:p>
        </w:tc>
        <w:tc>
          <w:tcPr>
            <w:tcW w:w="2787" w:type="dxa"/>
            <w:vAlign w:val="center"/>
          </w:tcPr>
          <w:p>
            <w:pPr>
              <w:widowControl/>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拟建设产能</w:t>
            </w:r>
          </w:p>
        </w:tc>
        <w:tc>
          <w:tcPr>
            <w:tcW w:w="2434"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置换指标产能</w:t>
            </w:r>
          </w:p>
        </w:tc>
        <w:tc>
          <w:tcPr>
            <w:tcW w:w="2529"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置换比例</w:t>
            </w:r>
          </w:p>
        </w:tc>
        <w:tc>
          <w:tcPr>
            <w:tcW w:w="3399" w:type="dxa"/>
            <w:gridSpan w:val="2"/>
            <w:vAlign w:val="center"/>
          </w:tcPr>
          <w:p>
            <w:pPr>
              <w:pStyle w:val="13"/>
              <w:widowControl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计划投产时间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7" w:type="dxa"/>
            <w:gridSpan w:val="2"/>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2787"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2434"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2529"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3399" w:type="dxa"/>
            <w:gridSpan w:val="2"/>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36" w:type="dxa"/>
            <w:gridSpan w:val="7"/>
            <w:vAlign w:val="center"/>
          </w:tcPr>
          <w:p>
            <w:pPr>
              <w:widowControl/>
              <w:jc w:val="center"/>
              <w:rPr>
                <w:rFonts w:hint="eastAsia" w:asciiTheme="minorEastAsia" w:hAnsiTheme="minorEastAsia" w:eastAsiaTheme="minorEastAsia" w:cstheme="minorEastAsia"/>
                <w:sz w:val="24"/>
                <w:vertAlign w:val="baseline"/>
                <w:lang w:val="en-US" w:eastAsia="zh-CN"/>
              </w:rPr>
            </w:pPr>
            <w:r>
              <w:rPr>
                <w:rFonts w:hint="eastAsia" w:ascii="黑体" w:hAnsi="黑体" w:eastAsia="黑体" w:cs="黑体"/>
                <w:b w:val="0"/>
                <w:bCs w:val="0"/>
                <w:color w:val="000000"/>
                <w:kern w:val="0"/>
                <w:sz w:val="24"/>
                <w:szCs w:val="24"/>
                <w:lang w:val="en-US" w:eastAsia="zh-CN" w:bidi="ar"/>
              </w:rPr>
              <w:t>退出产能情况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Merge w:val="restart"/>
            <w:vAlign w:val="center"/>
          </w:tcPr>
          <w:p>
            <w:pPr>
              <w:pStyle w:val="13"/>
              <w:widowControl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项目1</w:t>
            </w:r>
          </w:p>
          <w:p>
            <w:pPr>
              <w:pStyle w:val="13"/>
              <w:widowControl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w:t>
            </w:r>
          </w:p>
          <w:p>
            <w:pPr>
              <w:pStyle w:val="13"/>
              <w:widowControl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w:t>
            </w:r>
          </w:p>
        </w:tc>
        <w:tc>
          <w:tcPr>
            <w:tcW w:w="1913"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企业名称</w:t>
            </w:r>
          </w:p>
        </w:tc>
        <w:tc>
          <w:tcPr>
            <w:tcW w:w="2787"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项目地址</w:t>
            </w:r>
          </w:p>
        </w:tc>
        <w:tc>
          <w:tcPr>
            <w:tcW w:w="2434"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统一社会信用代码</w:t>
            </w:r>
          </w:p>
        </w:tc>
        <w:tc>
          <w:tcPr>
            <w:tcW w:w="2529"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备案或核准文件</w:t>
            </w:r>
          </w:p>
        </w:tc>
        <w:tc>
          <w:tcPr>
            <w:tcW w:w="3399" w:type="dxa"/>
            <w:gridSpan w:val="2"/>
            <w:vAlign w:val="center"/>
          </w:tcPr>
          <w:p>
            <w:pPr>
              <w:pStyle w:val="13"/>
              <w:widowControl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主要设备名称、</w:t>
            </w:r>
          </w:p>
          <w:p>
            <w:pPr>
              <w:pStyle w:val="13"/>
              <w:widowControl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型号及数量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Merge w:val="continue"/>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1913"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2787"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2434"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2529"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3399" w:type="dxa"/>
            <w:gridSpan w:val="2"/>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Merge w:val="continue"/>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1913"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备案或核准文件设计产能</w:t>
            </w:r>
          </w:p>
        </w:tc>
        <w:tc>
          <w:tcPr>
            <w:tcW w:w="2787" w:type="dxa"/>
            <w:vAlign w:val="center"/>
          </w:tcPr>
          <w:p>
            <w:pPr>
              <w:widowControl/>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color w:val="000000"/>
                <w:kern w:val="0"/>
                <w:sz w:val="24"/>
                <w:szCs w:val="24"/>
                <w:highlight w:val="none"/>
                <w:lang w:val="en-US" w:eastAsia="zh-CN" w:bidi="ar"/>
              </w:rPr>
              <w:t>实际产能</w:t>
            </w:r>
          </w:p>
        </w:tc>
        <w:tc>
          <w:tcPr>
            <w:tcW w:w="2434"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核定合规产能</w:t>
            </w:r>
          </w:p>
        </w:tc>
        <w:tc>
          <w:tcPr>
            <w:tcW w:w="2529" w:type="dxa"/>
            <w:vAlign w:val="center"/>
          </w:tcPr>
          <w:p>
            <w:pPr>
              <w:pStyle w:val="13"/>
              <w:widowControl w:val="0"/>
              <w:jc w:val="center"/>
              <w:rPr>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color w:val="000000"/>
                <w:kern w:val="0"/>
                <w:sz w:val="24"/>
                <w:szCs w:val="24"/>
                <w:highlight w:val="none"/>
                <w:lang w:val="en-US" w:eastAsia="zh-CN" w:bidi="ar"/>
              </w:rPr>
              <w:t>用于本项目置换产能</w:t>
            </w:r>
          </w:p>
        </w:tc>
        <w:tc>
          <w:tcPr>
            <w:tcW w:w="1728" w:type="dxa"/>
            <w:vAlign w:val="center"/>
          </w:tcPr>
          <w:p>
            <w:pPr>
              <w:widowControl/>
              <w:jc w:val="center"/>
              <w:rPr>
                <w:rFonts w:hint="eastAsia" w:asciiTheme="minorEastAsia" w:hAnsiTheme="minorEastAsia" w:eastAsiaTheme="minorEastAsia" w:cstheme="minorEastAsia"/>
                <w:kern w:val="2"/>
                <w:sz w:val="21"/>
                <w:szCs w:val="24"/>
                <w:highlight w:val="none"/>
                <w:vertAlign w:val="baseli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
              </w:rPr>
              <w:t>计划关停</w:t>
            </w:r>
            <w:r>
              <w:rPr>
                <w:rFonts w:hint="eastAsia" w:asciiTheme="minorEastAsia" w:hAnsiTheme="minorEastAsia" w:eastAsiaTheme="minorEastAsia" w:cstheme="minorEastAsia"/>
                <w:color w:val="000000"/>
                <w:kern w:val="0"/>
                <w:sz w:val="24"/>
                <w:szCs w:val="24"/>
                <w:lang w:val="en-US" w:eastAsia="zh-CN" w:bidi="ar"/>
              </w:rPr>
              <w:t>时间</w:t>
            </w:r>
          </w:p>
        </w:tc>
        <w:tc>
          <w:tcPr>
            <w:tcW w:w="1671" w:type="dxa"/>
            <w:vAlign w:val="center"/>
          </w:tcPr>
          <w:p>
            <w:pPr>
              <w:widowControl/>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计划</w:t>
            </w:r>
            <w:r>
              <w:rPr>
                <w:rFonts w:hint="eastAsia" w:asciiTheme="minorEastAsia" w:hAnsiTheme="minorEastAsia" w:eastAsiaTheme="minorEastAsia" w:cstheme="minorEastAsia"/>
                <w:color w:val="000000"/>
                <w:kern w:val="0"/>
                <w:sz w:val="24"/>
                <w:szCs w:val="24"/>
                <w:lang w:val="en-US" w:eastAsia="zh-CN" w:bidi="ar"/>
              </w:rPr>
              <w:t>拆除时间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74" w:type="dxa"/>
            <w:vMerge w:val="continue"/>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1913"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2787"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2434"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2529"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1728" w:type="dxa"/>
            <w:vAlign w:val="center"/>
          </w:tcPr>
          <w:p>
            <w:pPr>
              <w:pStyle w:val="13"/>
              <w:widowControl w:val="0"/>
              <w:jc w:val="center"/>
              <w:rPr>
                <w:rFonts w:hint="eastAsia" w:asciiTheme="minorEastAsia" w:hAnsiTheme="minorEastAsia" w:eastAsiaTheme="minorEastAsia" w:cstheme="minorEastAsia"/>
                <w:vertAlign w:val="baseline"/>
                <w:lang w:val="en-US" w:eastAsia="zh-CN"/>
              </w:rPr>
            </w:pPr>
          </w:p>
        </w:tc>
        <w:tc>
          <w:tcPr>
            <w:tcW w:w="1671" w:type="dxa"/>
            <w:vAlign w:val="center"/>
          </w:tcPr>
          <w:p/>
        </w:tc>
      </w:tr>
    </w:tbl>
    <w:p>
      <w:pPr>
        <w:pStyle w:val="13"/>
        <w:rPr>
          <w:rFonts w:hint="eastAsia"/>
          <w:lang w:val="en-US" w:eastAsia="zh-CN"/>
        </w:rPr>
      </w:pPr>
    </w:p>
    <w:p>
      <w:pPr>
        <w:spacing w:line="560" w:lineRule="exact"/>
        <w:ind w:firstLine="0" w:firstLineChars="0"/>
        <w:rPr>
          <w:rFonts w:hint="default" w:ascii="仿宋_GB2312" w:hAnsi="仿宋_GB2312" w:eastAsia="仿宋_GB2312" w:cs="仿宋_GB2312"/>
          <w:color w:val="000000"/>
          <w:sz w:val="32"/>
          <w:szCs w:val="32"/>
          <w:lang w:val="en-US" w:eastAsia="zh-CN"/>
        </w:rPr>
      </w:pPr>
    </w:p>
    <w:sectPr>
      <w:pgSz w:w="16838" w:h="11906" w:orient="landscape"/>
      <w:pgMar w:top="1587" w:right="1701" w:bottom="1587"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  \* MERGEFORMAT </w:instrText>
                          </w:r>
                          <w:r>
                            <w:rPr>
                              <w:rFonts w:hint="eastAsia" w:asciiTheme="minorEastAsia" w:hAnsiTheme="minorEastAsia" w:eastAsiaTheme="minorEastAsia" w:cstheme="minorEastAsia"/>
                              <w:sz w:val="24"/>
                            </w:rPr>
                            <w:fldChar w:fldCharType="separate"/>
                          </w:r>
                          <w:r>
                            <w:rPr>
                              <w:rFonts w:asciiTheme="minorEastAsia" w:hAnsiTheme="minorEastAsia" w:eastAsiaTheme="minorEastAsia" w:cstheme="minorEastAsia"/>
                              <w:sz w:val="24"/>
                            </w:rPr>
                            <w:t>- 2 -</w:t>
                          </w:r>
                          <w:r>
                            <w:rPr>
                              <w:rFonts w:hint="eastAsia" w:asciiTheme="minorEastAsia" w:hAnsiTheme="minorEastAsia" w:eastAsiaTheme="minorEastAsia" w:cstheme="minor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  \* MERGEFORMAT </w:instrText>
                    </w:r>
                    <w:r>
                      <w:rPr>
                        <w:rFonts w:hint="eastAsia" w:asciiTheme="minorEastAsia" w:hAnsiTheme="minorEastAsia" w:eastAsiaTheme="minorEastAsia" w:cstheme="minorEastAsia"/>
                        <w:sz w:val="24"/>
                      </w:rPr>
                      <w:fldChar w:fldCharType="separate"/>
                    </w:r>
                    <w:r>
                      <w:rPr>
                        <w:rFonts w:asciiTheme="minorEastAsia" w:hAnsiTheme="minorEastAsia" w:eastAsiaTheme="minorEastAsia" w:cstheme="minorEastAsia"/>
                        <w:sz w:val="24"/>
                      </w:rPr>
                      <w:t>- 2 -</w:t>
                    </w:r>
                    <w:r>
                      <w:rPr>
                        <w:rFonts w:hint="eastAsia" w:asciiTheme="minorEastAsia" w:hAnsiTheme="minorEastAsia" w:eastAsiaTheme="minorEastAsia" w:cstheme="minorEastAsia"/>
                        <w:sz w:val="24"/>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cs="宋体"/>
                              <w:sz w:val="28"/>
                              <w:szCs w:val="28"/>
                            </w:rPr>
                          </w:pPr>
                        </w:p>
                        <w:p>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rPr>
                        <w:rFonts w:ascii="宋体" w:hAnsi="宋体" w:cs="宋体"/>
                        <w:sz w:val="28"/>
                        <w:szCs w:val="28"/>
                      </w:rPr>
                    </w:pPr>
                  </w:p>
                  <w:p>
                    <w:pPr>
                      <w:pStyle w:val="6"/>
                    </w:pPr>
                  </w:p>
                </w:txbxContent>
              </v:textbox>
            </v:shape>
          </w:pict>
        </mc:Fallback>
      </mc:AlternateContent>
    </w:r>
  </w:p>
  <w:p>
    <w:pPr>
      <w:pStyle w:val="6"/>
    </w:pP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OGEwYjNmOWRiMjRhZjAzMDFjMTE3OTVhMzliNzgifQ=="/>
  </w:docVars>
  <w:rsids>
    <w:rsidRoot w:val="00B00D17"/>
    <w:rsid w:val="00001F2B"/>
    <w:rsid w:val="000C1E2D"/>
    <w:rsid w:val="00173F8E"/>
    <w:rsid w:val="00191F18"/>
    <w:rsid w:val="004825EF"/>
    <w:rsid w:val="004E0744"/>
    <w:rsid w:val="005A4D69"/>
    <w:rsid w:val="00630246"/>
    <w:rsid w:val="00733B31"/>
    <w:rsid w:val="007E36C8"/>
    <w:rsid w:val="00984AC8"/>
    <w:rsid w:val="00A052C8"/>
    <w:rsid w:val="00AD6287"/>
    <w:rsid w:val="00B00D17"/>
    <w:rsid w:val="00C87600"/>
    <w:rsid w:val="00C97C29"/>
    <w:rsid w:val="00F92C12"/>
    <w:rsid w:val="0120514F"/>
    <w:rsid w:val="016D08F7"/>
    <w:rsid w:val="02053D05"/>
    <w:rsid w:val="02344912"/>
    <w:rsid w:val="0248220A"/>
    <w:rsid w:val="037456B8"/>
    <w:rsid w:val="04CA1F13"/>
    <w:rsid w:val="05732B5D"/>
    <w:rsid w:val="064402C5"/>
    <w:rsid w:val="068B56CA"/>
    <w:rsid w:val="06A142FC"/>
    <w:rsid w:val="06B7222B"/>
    <w:rsid w:val="077633E2"/>
    <w:rsid w:val="078D2699"/>
    <w:rsid w:val="07A67DC0"/>
    <w:rsid w:val="08F630AB"/>
    <w:rsid w:val="09200E67"/>
    <w:rsid w:val="09C95458"/>
    <w:rsid w:val="0A040680"/>
    <w:rsid w:val="0A5E5C25"/>
    <w:rsid w:val="0AC076C7"/>
    <w:rsid w:val="0ACF7216"/>
    <w:rsid w:val="0ADF5C89"/>
    <w:rsid w:val="0AEC765C"/>
    <w:rsid w:val="0BE355AE"/>
    <w:rsid w:val="0C206B45"/>
    <w:rsid w:val="0D011C74"/>
    <w:rsid w:val="0D236379"/>
    <w:rsid w:val="0DE52B32"/>
    <w:rsid w:val="0DE71C28"/>
    <w:rsid w:val="0E3A65DF"/>
    <w:rsid w:val="0E7272A4"/>
    <w:rsid w:val="0F285783"/>
    <w:rsid w:val="0F7B4D29"/>
    <w:rsid w:val="0FB15527"/>
    <w:rsid w:val="0FD5204E"/>
    <w:rsid w:val="0FF77199"/>
    <w:rsid w:val="102D5D9F"/>
    <w:rsid w:val="10612631"/>
    <w:rsid w:val="1153786A"/>
    <w:rsid w:val="118655D2"/>
    <w:rsid w:val="11F5618F"/>
    <w:rsid w:val="11F71271"/>
    <w:rsid w:val="11F87B9E"/>
    <w:rsid w:val="13B90F6C"/>
    <w:rsid w:val="13C13086"/>
    <w:rsid w:val="15151DF2"/>
    <w:rsid w:val="15735EBE"/>
    <w:rsid w:val="15C52DC2"/>
    <w:rsid w:val="15D319E4"/>
    <w:rsid w:val="15E54BDC"/>
    <w:rsid w:val="16A411E1"/>
    <w:rsid w:val="170B666A"/>
    <w:rsid w:val="18236D52"/>
    <w:rsid w:val="18976521"/>
    <w:rsid w:val="19035E3B"/>
    <w:rsid w:val="19B93DF9"/>
    <w:rsid w:val="19F018C5"/>
    <w:rsid w:val="1A5C2E2C"/>
    <w:rsid w:val="1A6274D6"/>
    <w:rsid w:val="1CA61138"/>
    <w:rsid w:val="1CDC77FE"/>
    <w:rsid w:val="1DB45B89"/>
    <w:rsid w:val="1DC87405"/>
    <w:rsid w:val="1F180330"/>
    <w:rsid w:val="1FC45D04"/>
    <w:rsid w:val="21301384"/>
    <w:rsid w:val="21FA5246"/>
    <w:rsid w:val="22176A22"/>
    <w:rsid w:val="22683A7B"/>
    <w:rsid w:val="22733AD0"/>
    <w:rsid w:val="239214F6"/>
    <w:rsid w:val="24E126C0"/>
    <w:rsid w:val="252B4B4C"/>
    <w:rsid w:val="25751014"/>
    <w:rsid w:val="25812BA6"/>
    <w:rsid w:val="258C66B2"/>
    <w:rsid w:val="25EA0485"/>
    <w:rsid w:val="270B2D9A"/>
    <w:rsid w:val="272A2C67"/>
    <w:rsid w:val="27CC7D2B"/>
    <w:rsid w:val="27EB4D4E"/>
    <w:rsid w:val="27ED5095"/>
    <w:rsid w:val="28153018"/>
    <w:rsid w:val="28275AF0"/>
    <w:rsid w:val="28CF3A40"/>
    <w:rsid w:val="290304DB"/>
    <w:rsid w:val="29742DF5"/>
    <w:rsid w:val="2A082E3E"/>
    <w:rsid w:val="2A1C0F07"/>
    <w:rsid w:val="2AA16C3E"/>
    <w:rsid w:val="2B38196B"/>
    <w:rsid w:val="2B5D17D7"/>
    <w:rsid w:val="2B93191D"/>
    <w:rsid w:val="2CB66848"/>
    <w:rsid w:val="2CDF5FD2"/>
    <w:rsid w:val="2D066A8D"/>
    <w:rsid w:val="2D823B6A"/>
    <w:rsid w:val="2DB02474"/>
    <w:rsid w:val="2DC32309"/>
    <w:rsid w:val="2DD050E8"/>
    <w:rsid w:val="2DE26E9D"/>
    <w:rsid w:val="2E037147"/>
    <w:rsid w:val="2E9D3186"/>
    <w:rsid w:val="2F636CDF"/>
    <w:rsid w:val="309C4B4F"/>
    <w:rsid w:val="3124123F"/>
    <w:rsid w:val="31771119"/>
    <w:rsid w:val="318B1086"/>
    <w:rsid w:val="31905D36"/>
    <w:rsid w:val="324267FA"/>
    <w:rsid w:val="32EA5883"/>
    <w:rsid w:val="337D6369"/>
    <w:rsid w:val="33D745A2"/>
    <w:rsid w:val="33FF5E89"/>
    <w:rsid w:val="34221134"/>
    <w:rsid w:val="345319C9"/>
    <w:rsid w:val="345B358E"/>
    <w:rsid w:val="351B4048"/>
    <w:rsid w:val="36BA5D2F"/>
    <w:rsid w:val="36DF3A6E"/>
    <w:rsid w:val="36E10B52"/>
    <w:rsid w:val="37174176"/>
    <w:rsid w:val="372F3C13"/>
    <w:rsid w:val="376266EA"/>
    <w:rsid w:val="377E52C1"/>
    <w:rsid w:val="378732DE"/>
    <w:rsid w:val="37D10F4C"/>
    <w:rsid w:val="37F3036D"/>
    <w:rsid w:val="394959FE"/>
    <w:rsid w:val="397B0607"/>
    <w:rsid w:val="39804A3C"/>
    <w:rsid w:val="39A516AE"/>
    <w:rsid w:val="39F07CBA"/>
    <w:rsid w:val="39FA4772"/>
    <w:rsid w:val="3A747B33"/>
    <w:rsid w:val="3AE921FE"/>
    <w:rsid w:val="3BDB4D02"/>
    <w:rsid w:val="3C9A0DC2"/>
    <w:rsid w:val="3E054408"/>
    <w:rsid w:val="3E482992"/>
    <w:rsid w:val="3EA73FE7"/>
    <w:rsid w:val="3EDE0364"/>
    <w:rsid w:val="3F3F2631"/>
    <w:rsid w:val="3FF6799A"/>
    <w:rsid w:val="409A035E"/>
    <w:rsid w:val="4122140C"/>
    <w:rsid w:val="420A14CB"/>
    <w:rsid w:val="421D7F68"/>
    <w:rsid w:val="423C7677"/>
    <w:rsid w:val="42BB21A2"/>
    <w:rsid w:val="42D50C41"/>
    <w:rsid w:val="433810D5"/>
    <w:rsid w:val="449A71A0"/>
    <w:rsid w:val="44EE129A"/>
    <w:rsid w:val="46380B40"/>
    <w:rsid w:val="466171A9"/>
    <w:rsid w:val="46B22CAD"/>
    <w:rsid w:val="46CE519A"/>
    <w:rsid w:val="474E24BF"/>
    <w:rsid w:val="47DB2439"/>
    <w:rsid w:val="480533C3"/>
    <w:rsid w:val="48205C0E"/>
    <w:rsid w:val="485853A8"/>
    <w:rsid w:val="48BD2AF9"/>
    <w:rsid w:val="490B11F3"/>
    <w:rsid w:val="49E737AD"/>
    <w:rsid w:val="49F36279"/>
    <w:rsid w:val="4A7F4DFE"/>
    <w:rsid w:val="4A946169"/>
    <w:rsid w:val="4AD66A58"/>
    <w:rsid w:val="4AED4164"/>
    <w:rsid w:val="4BB46D99"/>
    <w:rsid w:val="4BF47316"/>
    <w:rsid w:val="4BF90C50"/>
    <w:rsid w:val="4CA21012"/>
    <w:rsid w:val="4CDD6380"/>
    <w:rsid w:val="4D074F32"/>
    <w:rsid w:val="4D2C3F9C"/>
    <w:rsid w:val="4DF7375A"/>
    <w:rsid w:val="4E842C10"/>
    <w:rsid w:val="4ECD5725"/>
    <w:rsid w:val="4F3140AB"/>
    <w:rsid w:val="4FB21842"/>
    <w:rsid w:val="519E23AF"/>
    <w:rsid w:val="520C179C"/>
    <w:rsid w:val="52291D08"/>
    <w:rsid w:val="53144276"/>
    <w:rsid w:val="541D04BA"/>
    <w:rsid w:val="544F4650"/>
    <w:rsid w:val="54E37D84"/>
    <w:rsid w:val="55445618"/>
    <w:rsid w:val="556A0A2B"/>
    <w:rsid w:val="559A274D"/>
    <w:rsid w:val="577E3B3C"/>
    <w:rsid w:val="579B3517"/>
    <w:rsid w:val="584273E0"/>
    <w:rsid w:val="58491224"/>
    <w:rsid w:val="58901B8E"/>
    <w:rsid w:val="58914389"/>
    <w:rsid w:val="58A5223C"/>
    <w:rsid w:val="58E94A02"/>
    <w:rsid w:val="59194A10"/>
    <w:rsid w:val="5A2639CB"/>
    <w:rsid w:val="5A552B26"/>
    <w:rsid w:val="5AC301EE"/>
    <w:rsid w:val="5B280B1F"/>
    <w:rsid w:val="5C5C6C96"/>
    <w:rsid w:val="5CD359DB"/>
    <w:rsid w:val="5CEF3D31"/>
    <w:rsid w:val="5D2B2C34"/>
    <w:rsid w:val="5D661AE5"/>
    <w:rsid w:val="5DBF3BA7"/>
    <w:rsid w:val="5DC1039D"/>
    <w:rsid w:val="5DCC5839"/>
    <w:rsid w:val="5EAF38D4"/>
    <w:rsid w:val="605F496E"/>
    <w:rsid w:val="60E4014C"/>
    <w:rsid w:val="6185737B"/>
    <w:rsid w:val="61CF2D46"/>
    <w:rsid w:val="6348167D"/>
    <w:rsid w:val="63BB7703"/>
    <w:rsid w:val="63D36CF9"/>
    <w:rsid w:val="63E4417B"/>
    <w:rsid w:val="642D01AF"/>
    <w:rsid w:val="650A01F5"/>
    <w:rsid w:val="654F7300"/>
    <w:rsid w:val="65DB1CFA"/>
    <w:rsid w:val="65F36535"/>
    <w:rsid w:val="65F73AB5"/>
    <w:rsid w:val="66282A70"/>
    <w:rsid w:val="664F30D1"/>
    <w:rsid w:val="667B4C8C"/>
    <w:rsid w:val="669F3FD1"/>
    <w:rsid w:val="671D7469"/>
    <w:rsid w:val="679A0C90"/>
    <w:rsid w:val="67B65DFE"/>
    <w:rsid w:val="6909007C"/>
    <w:rsid w:val="69AF4BB9"/>
    <w:rsid w:val="69F021ED"/>
    <w:rsid w:val="6B4242C1"/>
    <w:rsid w:val="6BF22C25"/>
    <w:rsid w:val="6C887C8C"/>
    <w:rsid w:val="6CA66A68"/>
    <w:rsid w:val="6CA825DB"/>
    <w:rsid w:val="6CC32CDB"/>
    <w:rsid w:val="6CF12BD3"/>
    <w:rsid w:val="6D106425"/>
    <w:rsid w:val="6D467CDF"/>
    <w:rsid w:val="6E4C3DD0"/>
    <w:rsid w:val="6EBE3416"/>
    <w:rsid w:val="6F3070E1"/>
    <w:rsid w:val="70E32AE7"/>
    <w:rsid w:val="71120E19"/>
    <w:rsid w:val="7161307A"/>
    <w:rsid w:val="735F0099"/>
    <w:rsid w:val="73613C91"/>
    <w:rsid w:val="739D43E5"/>
    <w:rsid w:val="747E6D7E"/>
    <w:rsid w:val="762229CE"/>
    <w:rsid w:val="76AB3C6F"/>
    <w:rsid w:val="775E5A5C"/>
    <w:rsid w:val="777C47E5"/>
    <w:rsid w:val="78C244A2"/>
    <w:rsid w:val="797E6C7F"/>
    <w:rsid w:val="79AB6C15"/>
    <w:rsid w:val="79CF12D7"/>
    <w:rsid w:val="7AC64421"/>
    <w:rsid w:val="7ACD325F"/>
    <w:rsid w:val="7B637474"/>
    <w:rsid w:val="7BA01D72"/>
    <w:rsid w:val="7C371585"/>
    <w:rsid w:val="7CB16258"/>
    <w:rsid w:val="7D9A533C"/>
    <w:rsid w:val="7DC642B2"/>
    <w:rsid w:val="7DE369DC"/>
    <w:rsid w:val="7DF1578A"/>
    <w:rsid w:val="7EDF171F"/>
    <w:rsid w:val="7F417F73"/>
    <w:rsid w:val="7FD73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First Indent 2"/>
    <w:basedOn w:val="4"/>
    <w:next w:val="1"/>
    <w:autoRedefine/>
    <w:qFormat/>
    <w:uiPriority w:val="0"/>
    <w:pPr>
      <w:ind w:firstLine="420" w:firstLineChars="200"/>
    </w:pPr>
  </w:style>
  <w:style w:type="paragraph" w:styleId="4">
    <w:name w:val="Body Text Indent"/>
    <w:basedOn w:val="1"/>
    <w:autoRedefine/>
    <w:qFormat/>
    <w:uiPriority w:val="0"/>
    <w:pPr>
      <w:spacing w:after="120"/>
      <w:ind w:left="420" w:leftChars="200"/>
    </w:pPr>
  </w:style>
  <w:style w:type="paragraph" w:styleId="5">
    <w:name w:val="Plain Text"/>
    <w:basedOn w:val="1"/>
    <w:autoRedefine/>
    <w:qFormat/>
    <w:uiPriority w:val="0"/>
    <w:rPr>
      <w:rFonts w:ascii="宋体" w:hAnsi="Courier New" w:cs="Courier New"/>
      <w:kern w:val="2"/>
      <w:szCs w:val="21"/>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paragraph" w:customStyle="1" w:styleId="13">
    <w:name w:val="UserStyle_0"/>
    <w:autoRedefine/>
    <w:qFormat/>
    <w:uiPriority w:val="0"/>
    <w:pPr>
      <w:textAlignment w:val="baseline"/>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Company>
  <Pages>3</Pages>
  <Words>153</Words>
  <Characters>873</Characters>
  <Lines>7</Lines>
  <Paragraphs>2</Paragraphs>
  <TotalTime>10</TotalTime>
  <ScaleCrop>false</ScaleCrop>
  <LinksUpToDate>false</LinksUpToDate>
  <CharactersWithSpaces>1024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2020-07-21T02:55:00Z</dcterms:created>
  <dc:creator>hzb5881</dc:creator>
  <cp:lastModifiedBy>自由</cp:lastModifiedBy>
  <cp:lastPrinted>2024-01-10T06:35:00Z</cp:lastPrinted>
  <dcterms:modified xsi:type="dcterms:W3CDTF">2024-01-11T03:07:03Z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B6516196C93A4F46A7D1C350F36E0935_13</vt:lpwstr>
  </property>
</Properties>
</file>