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eastAsia="方正小标宋简体"/>
          <w:color w:val="000000"/>
          <w:sz w:val="44"/>
          <w:szCs w:val="40"/>
          <w:lang w:eastAsia="zh-CN"/>
        </w:rPr>
      </w:pPr>
    </w:p>
    <w:p>
      <w:pPr>
        <w:spacing w:line="540" w:lineRule="exact"/>
        <w:jc w:val="center"/>
        <w:rPr>
          <w:rFonts w:hint="eastAsia" w:eastAsia="方正小标宋简体"/>
          <w:color w:val="000000"/>
          <w:sz w:val="44"/>
          <w:szCs w:val="40"/>
          <w:lang w:eastAsia="zh-CN"/>
        </w:rPr>
      </w:pPr>
      <w:r>
        <w:rPr>
          <w:rFonts w:hint="eastAsia" w:eastAsia="方正小标宋简体"/>
          <w:color w:val="000000"/>
          <w:sz w:val="44"/>
          <w:szCs w:val="40"/>
          <w:lang w:eastAsia="zh-CN"/>
        </w:rPr>
        <w:t>SDPR-2020-0040019</w:t>
      </w:r>
    </w:p>
    <w:p>
      <w:pPr>
        <w:spacing w:line="540" w:lineRule="exact"/>
        <w:jc w:val="center"/>
        <w:rPr>
          <w:rFonts w:hint="eastAsia" w:eastAsia="方正小标宋简体"/>
          <w:color w:val="000000"/>
          <w:sz w:val="44"/>
          <w:szCs w:val="40"/>
          <w:lang w:eastAsia="zh-CN"/>
        </w:rPr>
      </w:pPr>
    </w:p>
    <w:p>
      <w:pPr>
        <w:spacing w:line="540" w:lineRule="exact"/>
        <w:jc w:val="center"/>
        <w:rPr>
          <w:rFonts w:hint="default" w:eastAsia="方正小标宋简体"/>
          <w:color w:val="000000"/>
          <w:sz w:val="44"/>
          <w:szCs w:val="40"/>
          <w:lang w:val="en-US" w:eastAsia="zh-CN"/>
        </w:rPr>
      </w:pPr>
      <w:r>
        <w:rPr>
          <w:rFonts w:hint="eastAsia" w:eastAsia="方正小标宋简体"/>
          <w:color w:val="000000"/>
          <w:sz w:val="44"/>
          <w:szCs w:val="40"/>
          <w:lang w:eastAsia="zh-CN"/>
        </w:rPr>
        <w:t>鲁工信消〔</w:t>
      </w:r>
      <w:r>
        <w:rPr>
          <w:rFonts w:hint="eastAsia" w:eastAsia="方正小标宋简体"/>
          <w:color w:val="000000"/>
          <w:sz w:val="44"/>
          <w:szCs w:val="40"/>
          <w:lang w:val="en-US" w:eastAsia="zh-CN"/>
        </w:rPr>
        <w:t>2020</w:t>
      </w:r>
      <w:r>
        <w:rPr>
          <w:rFonts w:hint="eastAsia" w:eastAsia="方正小标宋简体"/>
          <w:color w:val="000000"/>
          <w:sz w:val="44"/>
          <w:szCs w:val="40"/>
          <w:lang w:eastAsia="zh-CN"/>
        </w:rPr>
        <w:t>〕</w:t>
      </w:r>
      <w:r>
        <w:rPr>
          <w:rFonts w:hint="eastAsia" w:eastAsia="方正小标宋简体"/>
          <w:color w:val="000000"/>
          <w:sz w:val="44"/>
          <w:szCs w:val="40"/>
          <w:lang w:val="en-US" w:eastAsia="zh-CN"/>
        </w:rPr>
        <w:t>199号</w:t>
      </w:r>
    </w:p>
    <w:p>
      <w:pPr>
        <w:spacing w:line="540" w:lineRule="exact"/>
        <w:jc w:val="center"/>
        <w:rPr>
          <w:rFonts w:eastAsia="方正小标宋简体"/>
          <w:color w:val="000000"/>
          <w:sz w:val="44"/>
          <w:szCs w:val="40"/>
        </w:rPr>
      </w:pPr>
    </w:p>
    <w:p>
      <w:pPr>
        <w:spacing w:line="540" w:lineRule="exact"/>
        <w:jc w:val="center"/>
        <w:rPr>
          <w:rFonts w:eastAsia="方正小标宋简体"/>
          <w:color w:val="000000"/>
          <w:sz w:val="44"/>
          <w:szCs w:val="40"/>
        </w:rPr>
      </w:pPr>
    </w:p>
    <w:p>
      <w:pPr>
        <w:adjustRightInd w:val="0"/>
        <w:snapToGrid w:val="0"/>
        <w:spacing w:line="600" w:lineRule="exact"/>
        <w:jc w:val="center"/>
        <w:rPr>
          <w:rFonts w:hint="default" w:eastAsia="方正小标宋简体"/>
          <w:color w:val="000000"/>
          <w:sz w:val="44"/>
          <w:szCs w:val="40"/>
        </w:rPr>
      </w:pPr>
      <w:r>
        <w:rPr>
          <w:rFonts w:eastAsia="方正小标宋简体"/>
          <w:color w:val="000000"/>
          <w:sz w:val="44"/>
          <w:szCs w:val="40"/>
        </w:rPr>
        <w:t>关于印发</w:t>
      </w:r>
      <w:r>
        <w:rPr>
          <w:rFonts w:hint="default" w:eastAsia="方正小标宋简体"/>
          <w:color w:val="000000"/>
          <w:sz w:val="44"/>
          <w:szCs w:val="40"/>
        </w:rPr>
        <w:t>《山东省省级医药储备管理办法》</w:t>
      </w:r>
    </w:p>
    <w:p>
      <w:pPr>
        <w:adjustRightInd w:val="0"/>
        <w:snapToGrid w:val="0"/>
        <w:spacing w:line="600" w:lineRule="exact"/>
        <w:jc w:val="center"/>
        <w:rPr>
          <w:rFonts w:eastAsia="方正小标宋简体"/>
          <w:color w:val="000000"/>
          <w:sz w:val="44"/>
          <w:szCs w:val="40"/>
        </w:rPr>
      </w:pPr>
      <w:r>
        <w:rPr>
          <w:rFonts w:eastAsia="方正小标宋简体"/>
          <w:color w:val="000000"/>
          <w:sz w:val="44"/>
          <w:szCs w:val="40"/>
        </w:rPr>
        <w:t>的通知</w:t>
      </w:r>
    </w:p>
    <w:p>
      <w:pPr>
        <w:spacing w:line="400" w:lineRule="exact"/>
        <w:jc w:val="center"/>
        <w:rPr>
          <w:rFonts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sz w:val="32"/>
          <w:szCs w:val="32"/>
        </w:rPr>
      </w:pPr>
      <w:r>
        <w:rPr>
          <w:rFonts w:eastAsia="仿宋_GB2312"/>
          <w:color w:val="000000"/>
          <w:sz w:val="32"/>
          <w:szCs w:val="32"/>
        </w:rPr>
        <w:t>各市</w:t>
      </w:r>
      <w:r>
        <w:rPr>
          <w:rFonts w:hint="eastAsia" w:eastAsia="仿宋_GB2312"/>
          <w:color w:val="000000"/>
          <w:sz w:val="32"/>
          <w:szCs w:val="32"/>
          <w:lang w:eastAsia="zh-CN"/>
        </w:rPr>
        <w:t>工业和信息化局、</w:t>
      </w:r>
      <w:r>
        <w:rPr>
          <w:rFonts w:hint="eastAsia" w:ascii="Times New Roman" w:hAnsi="Times New Roman" w:eastAsia="仿宋_GB2312" w:cs="Times New Roman"/>
          <w:kern w:val="0"/>
          <w:sz w:val="32"/>
          <w:szCs w:val="32"/>
          <w:lang w:eastAsia="zh-CN"/>
        </w:rPr>
        <w:t>发展改革委、财政</w:t>
      </w:r>
      <w:r>
        <w:rPr>
          <w:rFonts w:hint="eastAsia" w:eastAsia="仿宋_GB2312" w:cs="Times New Roman"/>
          <w:kern w:val="0"/>
          <w:sz w:val="32"/>
          <w:szCs w:val="32"/>
          <w:lang w:eastAsia="zh-CN"/>
        </w:rPr>
        <w:t>局</w:t>
      </w:r>
      <w:r>
        <w:rPr>
          <w:rFonts w:hint="eastAsia" w:ascii="Times New Roman" w:hAnsi="Times New Roman" w:eastAsia="仿宋_GB2312" w:cs="Times New Roman"/>
          <w:kern w:val="0"/>
          <w:sz w:val="32"/>
          <w:szCs w:val="32"/>
          <w:lang w:eastAsia="zh-CN"/>
        </w:rPr>
        <w:t>、卫生健康委、应急管理</w:t>
      </w:r>
      <w:r>
        <w:rPr>
          <w:rFonts w:hint="eastAsia" w:eastAsia="仿宋_GB2312" w:cs="Times New Roman"/>
          <w:kern w:val="0"/>
          <w:sz w:val="32"/>
          <w:szCs w:val="32"/>
          <w:lang w:eastAsia="zh-CN"/>
        </w:rPr>
        <w:t>局</w:t>
      </w:r>
      <w:r>
        <w:rPr>
          <w:rFonts w:hint="eastAsia"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市场</w:t>
      </w:r>
      <w:r>
        <w:rPr>
          <w:rFonts w:hint="eastAsia" w:ascii="Times New Roman" w:hAnsi="Times New Roman" w:eastAsia="仿宋_GB2312" w:cs="Times New Roman"/>
          <w:kern w:val="0"/>
          <w:sz w:val="32"/>
          <w:szCs w:val="32"/>
          <w:lang w:eastAsia="zh-CN"/>
        </w:rPr>
        <w:t>监管局</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000000"/>
          <w:spacing w:val="-2"/>
          <w:sz w:val="32"/>
          <w:szCs w:val="32"/>
        </w:rPr>
      </w:pPr>
      <w:r>
        <w:rPr>
          <w:rFonts w:hint="default" w:ascii="Times New Roman" w:hAnsi="Times New Roman" w:eastAsia="仿宋_GB2312" w:cs="Times New Roman"/>
          <w:kern w:val="0"/>
          <w:sz w:val="32"/>
          <w:szCs w:val="32"/>
        </w:rPr>
        <w:t>为贯彻落实国家关于医药储备管理有关工作部署，做好我省省级医药储备管理工作，保障突发公共卫生事件发生时省级药品和医疗防护应急物资的及时供应，结合实际，我们研究制定了《山东省省级医药储备管理办法》</w:t>
      </w:r>
      <w:r>
        <w:rPr>
          <w:rFonts w:hint="eastAsia" w:eastAsia="仿宋_GB2312" w:cs="Times New Roman"/>
          <w:kern w:val="0"/>
          <w:sz w:val="32"/>
          <w:szCs w:val="32"/>
          <w:lang w:eastAsia="zh-CN"/>
        </w:rPr>
        <w:t>，</w:t>
      </w:r>
      <w:r>
        <w:rPr>
          <w:rFonts w:eastAsia="仿宋_GB2312"/>
          <w:color w:val="000000"/>
          <w:spacing w:val="-2"/>
          <w:sz w:val="32"/>
          <w:szCs w:val="32"/>
        </w:rPr>
        <w:t>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color w:val="000000"/>
          <w:spacing w:val="-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eastAsia="仿宋_GB2312"/>
          <w:color w:val="000000"/>
          <w:spacing w:val="-2"/>
          <w:sz w:val="32"/>
          <w:szCs w:val="32"/>
        </w:rPr>
      </w:pPr>
    </w:p>
    <w:p>
      <w:pPr>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山东省工业和信息化厅</w:t>
      </w:r>
      <w:r>
        <w:rPr>
          <w:rFonts w:hint="eastAsia" w:eastAsia="仿宋_GB2312" w:cs="Times New Roman"/>
          <w:kern w:val="0"/>
          <w:sz w:val="32"/>
          <w:szCs w:val="32"/>
          <w:lang w:val="en-US" w:eastAsia="zh-CN"/>
        </w:rPr>
        <w:t xml:space="preserve">  山东</w:t>
      </w:r>
      <w:r>
        <w:rPr>
          <w:rFonts w:hint="eastAsia" w:ascii="Times New Roman" w:hAnsi="Times New Roman" w:eastAsia="仿宋_GB2312" w:cs="Times New Roman"/>
          <w:kern w:val="0"/>
          <w:sz w:val="32"/>
          <w:szCs w:val="32"/>
          <w:lang w:eastAsia="zh-CN"/>
        </w:rPr>
        <w:t>省发展和改革</w:t>
      </w:r>
      <w:r>
        <w:rPr>
          <w:rFonts w:hint="eastAsia" w:eastAsia="仿宋_GB2312" w:cs="Times New Roman"/>
          <w:kern w:val="0"/>
          <w:sz w:val="32"/>
          <w:szCs w:val="32"/>
          <w:lang w:eastAsia="zh-CN"/>
        </w:rPr>
        <w:t>委员会</w:t>
      </w:r>
      <w:r>
        <w:rPr>
          <w:rFonts w:hint="eastAsia" w:eastAsia="仿宋_GB2312" w:cs="Times New Roman"/>
          <w:kern w:val="0"/>
          <w:sz w:val="32"/>
          <w:szCs w:val="32"/>
          <w:lang w:val="en-US" w:eastAsia="zh-CN"/>
        </w:rPr>
        <w:t xml:space="preserve">      山东</w:t>
      </w:r>
      <w:r>
        <w:rPr>
          <w:rFonts w:hint="eastAsia" w:ascii="Times New Roman" w:hAnsi="Times New Roman" w:eastAsia="仿宋_GB2312" w:cs="Times New Roman"/>
          <w:kern w:val="0"/>
          <w:sz w:val="32"/>
          <w:szCs w:val="32"/>
          <w:lang w:eastAsia="zh-CN"/>
        </w:rPr>
        <w:t>省财政厅</w:t>
      </w:r>
      <w:r>
        <w:rPr>
          <w:rFonts w:hint="eastAsia" w:eastAsia="仿宋_GB2312" w:cs="Times New Roman"/>
          <w:kern w:val="0"/>
          <w:sz w:val="32"/>
          <w:szCs w:val="32"/>
          <w:lang w:val="en-US" w:eastAsia="zh-CN"/>
        </w:rPr>
        <w:t xml:space="preserve">   </w:t>
      </w:r>
      <w:r>
        <w:rPr>
          <w:rFonts w:hint="eastAsia" w:eastAsia="仿宋_GB2312" w:cs="Times New Roman"/>
          <w:kern w:val="0"/>
          <w:sz w:val="32"/>
          <w:szCs w:val="32"/>
          <w:lang w:eastAsia="zh-CN"/>
        </w:rPr>
        <w:t>山东</w:t>
      </w:r>
      <w:r>
        <w:rPr>
          <w:rFonts w:hint="eastAsia" w:ascii="Times New Roman" w:hAnsi="Times New Roman" w:eastAsia="仿宋_GB2312" w:cs="Times New Roman"/>
          <w:kern w:val="0"/>
          <w:sz w:val="32"/>
          <w:szCs w:val="32"/>
          <w:lang w:eastAsia="zh-CN"/>
        </w:rPr>
        <w:t>省卫生健康</w:t>
      </w:r>
      <w:r>
        <w:rPr>
          <w:rFonts w:hint="eastAsia" w:eastAsia="仿宋_GB2312" w:cs="Times New Roman"/>
          <w:kern w:val="0"/>
          <w:sz w:val="32"/>
          <w:szCs w:val="32"/>
          <w:lang w:eastAsia="zh-CN"/>
        </w:rPr>
        <w:t>委员会</w:t>
      </w:r>
      <w:r>
        <w:rPr>
          <w:rFonts w:hint="eastAsia" w:eastAsia="仿宋_GB2312" w:cs="Times New Roman"/>
          <w:kern w:val="0"/>
          <w:sz w:val="32"/>
          <w:szCs w:val="32"/>
          <w:lang w:val="en-US" w:eastAsia="zh-CN"/>
        </w:rPr>
        <w:t xml:space="preserve">        山东</w:t>
      </w:r>
      <w:r>
        <w:rPr>
          <w:rFonts w:hint="eastAsia" w:ascii="Times New Roman" w:hAnsi="Times New Roman" w:eastAsia="仿宋_GB2312" w:cs="Times New Roman"/>
          <w:kern w:val="0"/>
          <w:sz w:val="32"/>
          <w:szCs w:val="32"/>
          <w:lang w:eastAsia="zh-CN"/>
        </w:rPr>
        <w:t>省应急管理厅</w:t>
      </w:r>
      <w:r>
        <w:rPr>
          <w:rFonts w:hint="eastAsia" w:eastAsia="仿宋_GB2312" w:cs="Times New Roman"/>
          <w:kern w:val="0"/>
          <w:sz w:val="32"/>
          <w:szCs w:val="32"/>
          <w:lang w:val="en-US" w:eastAsia="zh-CN"/>
        </w:rPr>
        <w:t xml:space="preserve">      山东</w:t>
      </w:r>
      <w:r>
        <w:rPr>
          <w:rFonts w:hint="eastAsia" w:ascii="Times New Roman" w:hAnsi="Times New Roman" w:eastAsia="仿宋_GB2312" w:cs="Times New Roman"/>
          <w:kern w:val="0"/>
          <w:sz w:val="32"/>
          <w:szCs w:val="32"/>
          <w:lang w:eastAsia="zh-CN"/>
        </w:rPr>
        <w:t>省药品</w:t>
      </w:r>
      <w:r>
        <w:rPr>
          <w:rFonts w:hint="eastAsia" w:eastAsia="仿宋_GB2312" w:cs="Times New Roman"/>
          <w:kern w:val="0"/>
          <w:sz w:val="32"/>
          <w:szCs w:val="32"/>
          <w:lang w:eastAsia="zh-CN"/>
        </w:rPr>
        <w:t>监督管理</w:t>
      </w:r>
      <w:r>
        <w:rPr>
          <w:rFonts w:hint="eastAsia" w:ascii="Times New Roman" w:hAnsi="Times New Roman" w:eastAsia="仿宋_GB2312" w:cs="Times New Roman"/>
          <w:kern w:val="0"/>
          <w:sz w:val="32"/>
          <w:szCs w:val="32"/>
          <w:lang w:eastAsia="zh-CN"/>
        </w:rPr>
        <w:t>局</w:t>
      </w:r>
    </w:p>
    <w:p>
      <w:pPr>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 xml:space="preserve">                2020年11月27日</w:t>
      </w:r>
    </w:p>
    <w:p>
      <w:pPr>
        <w:rPr>
          <w:rFonts w:hint="default" w:eastAsia="仿宋_GB2312" w:cs="Times New Roman"/>
          <w:kern w:val="0"/>
          <w:sz w:val="32"/>
          <w:szCs w:val="32"/>
          <w:lang w:val="en-US" w:eastAsia="zh-CN"/>
        </w:rPr>
      </w:pPr>
      <w:r>
        <w:rPr>
          <w:rFonts w:hint="eastAsia" w:eastAsia="仿宋_GB2312" w:cs="Times New Roman"/>
          <w:kern w:val="0"/>
          <w:sz w:val="32"/>
          <w:szCs w:val="32"/>
          <w:lang w:val="en-US" w:eastAsia="zh-CN"/>
        </w:rPr>
        <w:t>（此件公开发布）</w:t>
      </w:r>
    </w:p>
    <w:p>
      <w:pPr>
        <w:adjustRightInd w:val="0"/>
        <w:snapToGrid w:val="0"/>
        <w:spacing w:line="600" w:lineRule="exact"/>
        <w:jc w:val="center"/>
        <w:rPr>
          <w:rFonts w:hint="eastAsia" w:asciiTheme="minorEastAsia" w:hAnsiTheme="minorEastAsia"/>
          <w:b/>
          <w:color w:val="auto"/>
          <w:sz w:val="44"/>
          <w:szCs w:val="44"/>
          <w:u w:val="none"/>
        </w:rPr>
      </w:pPr>
      <w:bookmarkStart w:id="0" w:name="_GoBack"/>
      <w:bookmarkEnd w:id="0"/>
    </w:p>
    <w:p>
      <w:pPr>
        <w:adjustRightInd w:val="0"/>
        <w:snapToGrid w:val="0"/>
        <w:spacing w:line="600" w:lineRule="exact"/>
        <w:jc w:val="center"/>
        <w:rPr>
          <w:rFonts w:asciiTheme="minorEastAsia" w:hAnsiTheme="minorEastAsia"/>
          <w:b/>
          <w:color w:val="auto"/>
          <w:sz w:val="44"/>
          <w:szCs w:val="44"/>
          <w:u w:val="none"/>
        </w:rPr>
      </w:pPr>
      <w:r>
        <w:rPr>
          <w:rFonts w:hint="eastAsia" w:asciiTheme="minorEastAsia" w:hAnsiTheme="minorEastAsia"/>
          <w:b/>
          <w:color w:val="auto"/>
          <w:sz w:val="44"/>
          <w:szCs w:val="44"/>
          <w:u w:val="none"/>
        </w:rPr>
        <w:t>山东省省级医药储备管理办法</w:t>
      </w:r>
    </w:p>
    <w:p>
      <w:pPr>
        <w:adjustRightInd w:val="0"/>
        <w:snapToGrid w:val="0"/>
        <w:spacing w:line="600" w:lineRule="exact"/>
        <w:jc w:val="center"/>
        <w:rPr>
          <w:rFonts w:ascii="黑体" w:hAnsi="黑体" w:eastAsia="黑体"/>
          <w:color w:val="auto"/>
          <w:sz w:val="32"/>
          <w:szCs w:val="32"/>
          <w:u w:val="none"/>
        </w:rPr>
      </w:pP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第一章　总　则</w:t>
      </w:r>
    </w:p>
    <w:p>
      <w:pPr>
        <w:adjustRightInd w:val="0"/>
        <w:snapToGrid w:val="0"/>
        <w:spacing w:line="600" w:lineRule="exact"/>
        <w:ind w:firstLine="640" w:firstLineChars="200"/>
        <w:rPr>
          <w:rFonts w:ascii="仿宋_GB2312" w:hAnsi="宋体" w:eastAsia="仿宋_GB2312" w:cs="宋体"/>
          <w:color w:val="auto"/>
          <w:kern w:val="0"/>
          <w:sz w:val="32"/>
          <w:szCs w:val="32"/>
          <w:u w:val="none"/>
        </w:rPr>
      </w:pPr>
      <w:r>
        <w:rPr>
          <w:rFonts w:hint="eastAsia" w:ascii="仿宋_GB2312" w:eastAsia="仿宋_GB2312"/>
          <w:color w:val="auto"/>
          <w:sz w:val="32"/>
          <w:szCs w:val="32"/>
          <w:u w:val="none"/>
        </w:rPr>
        <w:t xml:space="preserve">第一条 </w:t>
      </w:r>
      <w:r>
        <w:rPr>
          <w:rFonts w:hint="eastAsia" w:ascii="仿宋_GB2312" w:hAnsi="宋体" w:eastAsia="仿宋_GB2312" w:cs="宋体"/>
          <w:color w:val="auto"/>
          <w:kern w:val="0"/>
          <w:sz w:val="32"/>
          <w:szCs w:val="32"/>
          <w:u w:val="none"/>
        </w:rPr>
        <w:t>为贯彻落实国家关于医药储备管理有关工作部署，做好我省省级医药储备管理工作，保障突发公共卫生事件发生时省级药品和医疗防护应急物资的及时供应，结合实际，制定本办法。</w:t>
      </w:r>
    </w:p>
    <w:p>
      <w:pPr>
        <w:adjustRightInd w:val="0"/>
        <w:snapToGrid w:val="0"/>
        <w:spacing w:line="600" w:lineRule="exact"/>
        <w:ind w:firstLine="640" w:firstLineChars="200"/>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第二条</w:t>
      </w:r>
      <w:r>
        <w:rPr>
          <w:rFonts w:ascii="仿宋_GB2312" w:hAnsi="宋体" w:eastAsia="仿宋_GB2312" w:cs="宋体"/>
          <w:color w:val="auto"/>
          <w:kern w:val="0"/>
          <w:sz w:val="32"/>
          <w:szCs w:val="32"/>
          <w:u w:val="none"/>
        </w:rPr>
        <w:t xml:space="preserve"> </w:t>
      </w:r>
      <w:r>
        <w:rPr>
          <w:rFonts w:hint="eastAsia" w:ascii="仿宋_GB2312" w:hAnsi="宋体" w:eastAsia="仿宋_GB2312" w:cs="宋体"/>
          <w:color w:val="auto"/>
          <w:kern w:val="0"/>
          <w:sz w:val="32"/>
          <w:szCs w:val="32"/>
          <w:u w:val="none"/>
        </w:rPr>
        <w:t>本办法所称省级医药储备</w:t>
      </w:r>
      <w:r>
        <w:rPr>
          <w:rFonts w:ascii="仿宋_GB2312" w:hAnsi="宋体" w:eastAsia="仿宋_GB2312" w:cs="宋体"/>
          <w:color w:val="auto"/>
          <w:kern w:val="0"/>
          <w:sz w:val="32"/>
          <w:szCs w:val="32"/>
          <w:u w:val="none"/>
        </w:rPr>
        <w:t>,</w:t>
      </w:r>
      <w:r>
        <w:rPr>
          <w:rFonts w:hint="eastAsia" w:ascii="仿宋_GB2312" w:hAnsi="宋体" w:eastAsia="仿宋_GB2312" w:cs="宋体"/>
          <w:color w:val="auto"/>
          <w:kern w:val="0"/>
          <w:sz w:val="32"/>
          <w:szCs w:val="32"/>
          <w:u w:val="none"/>
        </w:rPr>
        <w:t>主要是指省级应对突发</w:t>
      </w:r>
      <w:r>
        <w:rPr>
          <w:rFonts w:hint="eastAsia" w:ascii="仿宋_GB2312" w:eastAsia="仿宋_GB2312"/>
          <w:color w:val="auto"/>
          <w:sz w:val="32"/>
          <w:szCs w:val="32"/>
          <w:u w:val="none"/>
        </w:rPr>
        <w:t>公共卫生事件发生时所需重点药品、医疗防护物资的应急储备。</w:t>
      </w:r>
    </w:p>
    <w:p>
      <w:pPr>
        <w:adjustRightInd w:val="0"/>
        <w:snapToGrid w:val="0"/>
        <w:spacing w:line="600" w:lineRule="exact"/>
        <w:ind w:firstLine="640" w:firstLineChars="200"/>
        <w:rPr>
          <w:rFonts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第三条</w:t>
      </w:r>
      <w:r>
        <w:rPr>
          <w:rFonts w:ascii="仿宋_GB2312" w:hAnsi="宋体" w:eastAsia="仿宋_GB2312" w:cs="宋体"/>
          <w:color w:val="auto"/>
          <w:kern w:val="0"/>
          <w:sz w:val="32"/>
          <w:szCs w:val="32"/>
          <w:u w:val="none"/>
        </w:rPr>
        <w:t xml:space="preserve"> </w:t>
      </w:r>
      <w:r>
        <w:rPr>
          <w:rFonts w:hint="eastAsia" w:ascii="仿宋_GB2312" w:hAnsi="宋体" w:eastAsia="仿宋_GB2312" w:cs="宋体"/>
          <w:color w:val="auto"/>
          <w:kern w:val="0"/>
          <w:sz w:val="32"/>
          <w:szCs w:val="32"/>
          <w:u w:val="none"/>
        </w:rPr>
        <w:t>省级医药储备由政府职能部门负责管理并委托符合条件的医药企业（以下称“承储单位”）承担储备任务。</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第四条 省级医药储备工作实行“企业代储、财政补助、动态平衡”的原则,采用“滚动储备、定期轮换”的管理模式。</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第五条 从事和参与省级医药储备承储、管理、监督单位，必须遵守本办法。各市可参照本办法制定本市医药储备管理办法。</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第二章</w:t>
      </w:r>
      <w:r>
        <w:rPr>
          <w:rFonts w:ascii="黑体" w:hAnsi="黑体" w:eastAsia="黑体"/>
          <w:color w:val="auto"/>
          <w:sz w:val="32"/>
          <w:szCs w:val="32"/>
          <w:u w:val="none"/>
        </w:rPr>
        <w:t> 储备</w:t>
      </w:r>
      <w:r>
        <w:rPr>
          <w:rFonts w:hint="eastAsia" w:ascii="黑体" w:hAnsi="黑体" w:eastAsia="黑体"/>
          <w:color w:val="auto"/>
          <w:sz w:val="32"/>
          <w:szCs w:val="32"/>
          <w:u w:val="none"/>
        </w:rPr>
        <w:t>管理体系</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第六条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省工业和信息化厅、省卫生健康委是我省省级医药储备主要管理部门，共同牵头协调相关部门做好省级医药储备工作。各相关部门的主要职责是：</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省工业和信息化厅会同省卫生健康委组织编制年度省级医药储备计划及编制上报储备资金预算，会同省卫生健康委下达储备计划。</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省卫生健康委负责提出省级医药储备品种、规模建议以及编制年度省级医药储备目录，及时通报突发公共卫生事件的相关信息。</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省财政厅负责省级医药储备资金预算管理，审核医药储备补助资金预算，落实储备资金。</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省发展改革委负责省级投资的医药储备基础设施建设项目立项。</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w:t>
      </w:r>
      <w:r>
        <w:rPr>
          <w:rFonts w:hint="eastAsia" w:ascii="仿宋_GB2312" w:eastAsia="仿宋_GB2312"/>
          <w:color w:val="auto"/>
          <w:sz w:val="32"/>
          <w:szCs w:val="32"/>
          <w:u w:val="none"/>
          <w:lang w:eastAsia="zh-CN"/>
        </w:rPr>
        <w:t>应急</w:t>
      </w:r>
      <w:r>
        <w:rPr>
          <w:rFonts w:hint="eastAsia" w:ascii="仿宋_GB2312" w:eastAsia="仿宋_GB2312"/>
          <w:color w:val="auto"/>
          <w:sz w:val="32"/>
          <w:szCs w:val="32"/>
          <w:u w:val="none"/>
        </w:rPr>
        <w:t>厅</w:t>
      </w:r>
      <w:r>
        <w:rPr>
          <w:rFonts w:hint="eastAsia" w:ascii="仿宋_GB2312" w:eastAsia="仿宋_GB2312"/>
          <w:color w:val="auto"/>
          <w:sz w:val="32"/>
          <w:szCs w:val="32"/>
          <w:u w:val="none"/>
          <w:lang w:eastAsia="zh-CN"/>
        </w:rPr>
        <w:t>根据省委省政府要求下达动用指令，组织协调全省重要公共卫生应急物资的储备、调拨和紧急配送</w:t>
      </w:r>
      <w:r>
        <w:rPr>
          <w:rFonts w:hint="eastAsia" w:ascii="仿宋_GB2312" w:eastAsia="仿宋_GB2312"/>
          <w:color w:val="auto"/>
          <w:sz w:val="32"/>
          <w:szCs w:val="32"/>
          <w:u w:val="none"/>
        </w:rPr>
        <w:t>。</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省药监局依职责负责承储医药（药品、医疗器械）的质量安全监督管理工作。</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承储单位要建立健全医药储备管理各项规章制度，具体负责储备医药的生产(采购)、调运、储存和轮换，及时准确上报省级医药储备情况，对其所承储医药的数量、质量和安全负责。</w:t>
      </w:r>
      <w:r>
        <w:rPr>
          <w:rFonts w:ascii="仿宋_GB2312" w:eastAsia="仿宋_GB2312"/>
          <w:color w:val="auto"/>
          <w:sz w:val="32"/>
          <w:szCs w:val="32"/>
          <w:u w:val="none"/>
        </w:rPr>
        <w:t xml:space="preserve">  </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第三章　承储单位和承储方式</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第七条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承储单位原则上通过招标等方式确定，根据企业管理水平、仓储条件、供应能力、经营规模及效益、企业承担社会责任意愿等情况择优选定。为有利于提升突发公共卫生事件应对能力，承储单位应保持相对稳定。</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第八条</w:t>
      </w:r>
      <w:r>
        <w:rPr>
          <w:rFonts w:ascii="仿宋_GB2312" w:eastAsia="仿宋_GB2312"/>
          <w:color w:val="auto"/>
          <w:sz w:val="32"/>
          <w:szCs w:val="32"/>
          <w:u w:val="none"/>
        </w:rPr>
        <w:t> </w:t>
      </w:r>
      <w:r>
        <w:rPr>
          <w:rFonts w:hint="eastAsia" w:ascii="仿宋_GB2312" w:eastAsia="仿宋_GB2312"/>
          <w:color w:val="auto"/>
          <w:sz w:val="32"/>
          <w:szCs w:val="32"/>
          <w:u w:val="none"/>
        </w:rPr>
        <w:t>承储单位原则上每三年确定一次，遇特殊情况可根据需要及时调整确定承储单位。</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第九条　承储单位应符合以下条件：</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（一）具有完善的仓储设施、设备、卫生环境和调运能力，符合医药质量相关管理规范要求；</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（二）具有良好的质量管理水平和运转效率；</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（三）具有24小时应急配送能力；</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（四）具备信息化管理能力，能够实现医药储备信息数据传输；</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（五）经营状况良好，在国家企业信用信息公示系统，未被市场监督管理部门列入企业经营异常名录或严重违法失信企业名单。</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第十条</w:t>
      </w:r>
      <w:r>
        <w:rPr>
          <w:rFonts w:ascii="仿宋_GB2312" w:eastAsia="仿宋_GB2312"/>
          <w:color w:val="auto"/>
          <w:sz w:val="32"/>
          <w:szCs w:val="32"/>
          <w:u w:val="none"/>
        </w:rPr>
        <w:t> </w:t>
      </w:r>
      <w:r>
        <w:rPr>
          <w:rFonts w:hint="eastAsia" w:ascii="仿宋_GB2312" w:eastAsia="仿宋_GB2312"/>
          <w:color w:val="auto"/>
          <w:sz w:val="32"/>
          <w:szCs w:val="32"/>
          <w:u w:val="none"/>
        </w:rPr>
        <w:t>承储单位实行合同管理，协议有效期</w:t>
      </w:r>
      <w:r>
        <w:rPr>
          <w:rFonts w:ascii="仿宋_GB2312" w:eastAsia="仿宋_GB2312"/>
          <w:color w:val="auto"/>
          <w:sz w:val="32"/>
          <w:szCs w:val="32"/>
          <w:u w:val="none"/>
        </w:rPr>
        <w:t>3</w:t>
      </w:r>
      <w:r>
        <w:rPr>
          <w:rFonts w:hint="eastAsia" w:ascii="仿宋_GB2312" w:eastAsia="仿宋_GB2312"/>
          <w:color w:val="auto"/>
          <w:sz w:val="32"/>
          <w:szCs w:val="32"/>
          <w:u w:val="none"/>
        </w:rPr>
        <w:t>年。</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第十一条　承储单位应履行以下职责：</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（一）建立医药储备管理制度，落实责任人，确保储备计划安排的医药品规和数量符合要求、质量良好和储存安全，保证医药储备的正常调用。</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（二）根据具体承储品种的有效期采取滚动轮换方式对储备医药进行适时轮换，保证储备医药质量有效期限在半年以上。对于效期短于半年的药品应保证质量有效期限符合国家相关规定。</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（三）接受政府主管部门对医药储备执行情况的监督检查，发现问题及时整改，切实做好医药储备管理工作。</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第四章</w:t>
      </w:r>
      <w:r>
        <w:rPr>
          <w:rFonts w:ascii="黑体" w:hAnsi="黑体" w:eastAsia="黑体"/>
          <w:color w:val="auto"/>
          <w:sz w:val="32"/>
          <w:szCs w:val="32"/>
          <w:u w:val="none"/>
        </w:rPr>
        <w:t xml:space="preserve">  储备品种、数量</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第十二条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省卫生健康委负责收集整理省级储备医药需求信息，于每年第四季度提出下一年度省级医药储备品种、数量建议。省工业和信息化厅、省卫生健康委共同研究确定年度省级医药储备计划。</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第十三条 省级医药储备计划原则上每年调整一次，可根据医疗卫生机构需求变化、可能出现的突发公共卫生事件情况，结合国家和省两级短缺药品清单和临床必需易短缺药品重点监测清单进行动态调整，突发短缺且临床必需的医药可随时列入。</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第五章　储备管理</w:t>
      </w:r>
    </w:p>
    <w:p>
      <w:pPr>
        <w:adjustRightInd w:val="0"/>
        <w:snapToGrid w:val="0"/>
        <w:spacing w:line="60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第十四条　在保证储备医药品种、质量、数量的前提下，承储单位要根据具体医药的效期及质量要求对储备医药进行适时轮换，储备的库存总量原则</w:t>
      </w:r>
      <w:r>
        <w:rPr>
          <w:rFonts w:ascii="仿宋_GB2312" w:eastAsia="仿宋_GB2312"/>
          <w:color w:val="auto"/>
          <w:sz w:val="32"/>
          <w:szCs w:val="32"/>
          <w:u w:val="none"/>
        </w:rPr>
        <w:t>上</w:t>
      </w:r>
      <w:r>
        <w:rPr>
          <w:rFonts w:hint="eastAsia" w:ascii="仿宋_GB2312" w:eastAsia="仿宋_GB2312"/>
          <w:color w:val="auto"/>
          <w:sz w:val="32"/>
          <w:szCs w:val="32"/>
          <w:u w:val="none"/>
        </w:rPr>
        <w:t>需足额，遇特殊</w:t>
      </w:r>
      <w:r>
        <w:rPr>
          <w:rFonts w:ascii="仿宋_GB2312" w:eastAsia="仿宋_GB2312"/>
          <w:color w:val="auto"/>
          <w:sz w:val="32"/>
          <w:szCs w:val="32"/>
          <w:u w:val="none"/>
        </w:rPr>
        <w:t>情况</w:t>
      </w:r>
      <w:r>
        <w:rPr>
          <w:rFonts w:hint="eastAsia" w:ascii="仿宋_GB2312" w:eastAsia="仿宋_GB2312"/>
          <w:color w:val="auto"/>
          <w:sz w:val="32"/>
          <w:szCs w:val="32"/>
          <w:u w:val="none"/>
        </w:rPr>
        <w:t>须及时</w:t>
      </w:r>
      <w:r>
        <w:rPr>
          <w:rFonts w:ascii="仿宋_GB2312" w:eastAsia="仿宋_GB2312"/>
          <w:color w:val="auto"/>
          <w:sz w:val="32"/>
          <w:szCs w:val="32"/>
          <w:u w:val="none"/>
        </w:rPr>
        <w:t>向省</w:t>
      </w:r>
      <w:r>
        <w:rPr>
          <w:rFonts w:hint="eastAsia" w:ascii="仿宋_GB2312" w:eastAsia="仿宋_GB2312"/>
          <w:color w:val="auto"/>
          <w:sz w:val="32"/>
          <w:szCs w:val="32"/>
          <w:u w:val="none"/>
          <w:lang w:eastAsia="zh-CN"/>
        </w:rPr>
        <w:t>工业和信息化</w:t>
      </w:r>
      <w:r>
        <w:rPr>
          <w:rFonts w:ascii="仿宋_GB2312" w:eastAsia="仿宋_GB2312"/>
          <w:color w:val="auto"/>
          <w:sz w:val="32"/>
          <w:szCs w:val="32"/>
          <w:u w:val="none"/>
        </w:rPr>
        <w:t>厅</w:t>
      </w:r>
      <w:r>
        <w:rPr>
          <w:rFonts w:hint="eastAsia" w:ascii="仿宋_GB2312" w:eastAsia="仿宋_GB2312"/>
          <w:color w:val="auto"/>
          <w:sz w:val="32"/>
          <w:szCs w:val="32"/>
          <w:u w:val="none"/>
        </w:rPr>
        <w:t>、</w:t>
      </w:r>
      <w:r>
        <w:rPr>
          <w:rFonts w:ascii="仿宋_GB2312" w:eastAsia="仿宋_GB2312"/>
          <w:color w:val="auto"/>
          <w:sz w:val="32"/>
          <w:szCs w:val="32"/>
          <w:u w:val="none"/>
        </w:rPr>
        <w:t>省</w:t>
      </w:r>
      <w:r>
        <w:rPr>
          <w:rFonts w:hint="eastAsia" w:ascii="仿宋_GB2312" w:eastAsia="仿宋_GB2312"/>
          <w:color w:val="auto"/>
          <w:sz w:val="32"/>
          <w:szCs w:val="32"/>
          <w:u w:val="none"/>
          <w:lang w:eastAsia="zh-CN"/>
        </w:rPr>
        <w:t>卫生健康</w:t>
      </w:r>
      <w:r>
        <w:rPr>
          <w:rFonts w:ascii="仿宋_GB2312" w:eastAsia="仿宋_GB2312"/>
          <w:color w:val="auto"/>
          <w:sz w:val="32"/>
          <w:szCs w:val="32"/>
          <w:u w:val="none"/>
        </w:rPr>
        <w:t>委</w:t>
      </w:r>
      <w:r>
        <w:rPr>
          <w:rFonts w:hint="eastAsia" w:ascii="仿宋_GB2312" w:eastAsia="仿宋_GB2312"/>
          <w:color w:val="auto"/>
          <w:sz w:val="32"/>
          <w:szCs w:val="32"/>
          <w:u w:val="none"/>
        </w:rPr>
        <w:t>报备</w:t>
      </w:r>
      <w:r>
        <w:rPr>
          <w:rFonts w:ascii="仿宋_GB2312" w:eastAsia="仿宋_GB2312"/>
          <w:color w:val="auto"/>
          <w:sz w:val="32"/>
          <w:szCs w:val="32"/>
          <w:u w:val="none"/>
        </w:rPr>
        <w:t>。</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第十五条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省级医药储备规模根据实际需要适时调整。</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第十六条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承储单位要严格储备医药的出入库管理。建立医药储备应急工作机制，做好所储备医药的应急生产（采购）、调运等工作。</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第十七条 承储单位必须严格执行医药质量相关管理规范，落实专人负责，建立储备医药台账管理制度，每月对库存进行盘点。每年一月份向省工业和信息化厅及时上报上年度承储及调用工作总结。</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第十八条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因管理不善而造成的医药损失，由承储单位自行承担,不属于医药储备财政补助范围。</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第十九条　省卫生健康委通过有效的医药信息发布、采购平台面向医疗卫生机构发布省级医药储备信息。</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第六章　调用管理</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第二十条</w:t>
      </w:r>
      <w:r>
        <w:rPr>
          <w:rFonts w:ascii="仿宋_GB2312" w:eastAsia="仿宋_GB2312"/>
          <w:color w:val="auto"/>
          <w:sz w:val="32"/>
          <w:szCs w:val="32"/>
          <w:u w:val="none"/>
        </w:rPr>
        <w:t> </w:t>
      </w:r>
      <w:r>
        <w:rPr>
          <w:rFonts w:hint="eastAsia" w:ascii="仿宋_GB2312" w:hAnsi="仿宋_GB2312" w:eastAsia="仿宋_GB2312" w:cs="仿宋_GB2312"/>
          <w:color w:val="auto"/>
          <w:sz w:val="32"/>
          <w:szCs w:val="32"/>
          <w:u w:val="none"/>
        </w:rPr>
        <w:t>医疗卫生机构可根据医药使用需要，直接向承</w:t>
      </w:r>
      <w:r>
        <w:rPr>
          <w:rFonts w:hint="eastAsia" w:ascii="仿宋_GB2312" w:eastAsia="仿宋_GB2312"/>
          <w:color w:val="auto"/>
          <w:sz w:val="32"/>
          <w:szCs w:val="32"/>
          <w:u w:val="none"/>
        </w:rPr>
        <w:t>储单位联系采购，鼓励医疗卫生机构优先选用储备医药。遇到突发公共卫生事件需要动用省级储备医药时，由省工业和信息化厅</w:t>
      </w:r>
      <w:r>
        <w:rPr>
          <w:rFonts w:ascii="仿宋_GB2312" w:eastAsia="仿宋_GB2312"/>
          <w:color w:val="auto"/>
          <w:sz w:val="32"/>
          <w:szCs w:val="32"/>
          <w:u w:val="none"/>
        </w:rPr>
        <w:t>、</w:t>
      </w:r>
      <w:r>
        <w:rPr>
          <w:rFonts w:hint="eastAsia" w:ascii="仿宋_GB2312" w:eastAsia="仿宋_GB2312"/>
          <w:color w:val="auto"/>
          <w:sz w:val="32"/>
          <w:szCs w:val="32"/>
          <w:u w:val="none"/>
        </w:rPr>
        <w:t>省卫生健康委、省</w:t>
      </w:r>
      <w:r>
        <w:rPr>
          <w:rFonts w:ascii="仿宋_GB2312" w:eastAsia="仿宋_GB2312"/>
          <w:color w:val="auto"/>
          <w:sz w:val="32"/>
          <w:szCs w:val="32"/>
          <w:u w:val="none"/>
        </w:rPr>
        <w:t>应急厅</w:t>
      </w:r>
      <w:r>
        <w:rPr>
          <w:rFonts w:hint="eastAsia" w:ascii="仿宋_GB2312" w:eastAsia="仿宋_GB2312"/>
          <w:color w:val="auto"/>
          <w:sz w:val="32"/>
          <w:szCs w:val="32"/>
          <w:u w:val="none"/>
        </w:rPr>
        <w:t xml:space="preserve">快速联动，按照调拨程序，组织调用储备医药。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第二十一条</w:t>
      </w:r>
      <w:r>
        <w:rPr>
          <w:rFonts w:ascii="仿宋_GB2312" w:eastAsia="仿宋_GB2312"/>
          <w:color w:val="auto"/>
          <w:sz w:val="32"/>
          <w:szCs w:val="32"/>
          <w:u w:val="none"/>
        </w:rPr>
        <w:t> </w:t>
      </w:r>
      <w:r>
        <w:rPr>
          <w:rFonts w:hint="eastAsia" w:ascii="仿宋_GB2312" w:eastAsia="仿宋_GB2312"/>
          <w:color w:val="auto"/>
          <w:sz w:val="32"/>
          <w:szCs w:val="32"/>
          <w:u w:val="none"/>
        </w:rPr>
        <w:t xml:space="preserve">情况紧急的，省工业和信息化厅根据省卫生健康委提出的需求，立即通知承储单位先按要求发送储备医药，后补办有关手续。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第二十二条 储备医药的价格严格执行国家相关价格政策。</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第二十三条</w:t>
      </w:r>
      <w:r>
        <w:rPr>
          <w:rFonts w:ascii="仿宋_GB2312" w:eastAsia="仿宋_GB2312"/>
          <w:color w:val="auto"/>
          <w:sz w:val="32"/>
          <w:szCs w:val="32"/>
          <w:u w:val="none"/>
        </w:rPr>
        <w:t> </w:t>
      </w:r>
      <w:r>
        <w:rPr>
          <w:rFonts w:hint="eastAsia" w:ascii="仿宋_GB2312" w:eastAsia="仿宋_GB2312"/>
          <w:color w:val="auto"/>
          <w:sz w:val="32"/>
          <w:szCs w:val="32"/>
          <w:u w:val="none"/>
        </w:rPr>
        <w:t>储备医药实行有偿调用，调出方（承储单位）要及时收回货款，调入方（医疗卫生机构或其他使用储备医药单位）不得以任何借口或理由拖延、拒付。提出调用省级医药储备申请的地方政府或相关部门、单位，事后要负责协调实际使用单位或相关单位及时支付货款。省内二级以上公立医疗机构应配合承储单位交换资质建立首营资格，便于应急配送和货款结算。</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第二十四条</w:t>
      </w:r>
      <w:r>
        <w:rPr>
          <w:rFonts w:ascii="仿宋_GB2312" w:eastAsia="仿宋_GB2312"/>
          <w:color w:val="auto"/>
          <w:sz w:val="32"/>
          <w:szCs w:val="32"/>
          <w:u w:val="none"/>
        </w:rPr>
        <w:t>  </w:t>
      </w:r>
      <w:r>
        <w:rPr>
          <w:rFonts w:hint="eastAsia" w:ascii="仿宋_GB2312" w:eastAsia="仿宋_GB2312"/>
          <w:color w:val="auto"/>
          <w:sz w:val="32"/>
          <w:szCs w:val="32"/>
          <w:u w:val="none"/>
        </w:rPr>
        <w:t>承储单位在储备医药调出后，应按储备计划及时补齐储备医药。</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第二十五条</w:t>
      </w:r>
      <w:r>
        <w:rPr>
          <w:rFonts w:ascii="仿宋_GB2312" w:eastAsia="仿宋_GB2312"/>
          <w:color w:val="auto"/>
          <w:sz w:val="32"/>
          <w:szCs w:val="32"/>
          <w:u w:val="none"/>
        </w:rPr>
        <w:t> </w:t>
      </w:r>
      <w:r>
        <w:rPr>
          <w:rFonts w:hint="eastAsia" w:ascii="仿宋_GB2312" w:eastAsia="仿宋_GB2312"/>
          <w:color w:val="auto"/>
          <w:sz w:val="32"/>
          <w:szCs w:val="32"/>
          <w:u w:val="none"/>
        </w:rPr>
        <w:t>承储单位应建立医药储备应急配送机制，根据医疗卫生机构需求，及时配送医药，并做好调用配送记录台账。铁路、公路、航空、水运等主管部门和相关单位要积极为紧急调用储备医药运输提供特殊通道。</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第二十六条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各市需要动用省级医药储备时，由市人民政府或其指定的职能部门向省卫生健康委提出申请，经省卫生健康委确认后，由省工业和信息化厅向承储单位下达调用通知。承储单位接到调用通知后，须及时将医药发送到指定地区和单位，并对调出医药的质量负责。</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第二十七条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发生突发公共卫生事件时，本省省级医药储备供应保障难以满足的，由省工业和信息化厅商请工业和信息化部协调动用中央医药储备，或者协调调用各市医药储备。</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第七章　储备资金管理</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第二十八条</w:t>
      </w:r>
      <w:r>
        <w:rPr>
          <w:rFonts w:ascii="仿宋_GB2312" w:eastAsia="仿宋_GB2312"/>
          <w:color w:val="auto"/>
          <w:sz w:val="32"/>
          <w:szCs w:val="32"/>
          <w:u w:val="none"/>
        </w:rPr>
        <w:t> </w:t>
      </w:r>
      <w:r>
        <w:rPr>
          <w:rFonts w:hint="eastAsia" w:ascii="仿宋_GB2312" w:eastAsia="仿宋_GB2312"/>
          <w:color w:val="auto"/>
          <w:sz w:val="32"/>
          <w:szCs w:val="32"/>
          <w:u w:val="none"/>
        </w:rPr>
        <w:t xml:space="preserve"> 医药储备资金由承储</w:t>
      </w:r>
      <w:r>
        <w:rPr>
          <w:rFonts w:hint="eastAsia" w:ascii="仿宋_GB2312" w:eastAsia="仿宋_GB2312"/>
          <w:color w:val="auto"/>
          <w:sz w:val="32"/>
          <w:szCs w:val="32"/>
          <w:u w:val="none"/>
          <w:lang w:eastAsia="zh-CN"/>
        </w:rPr>
        <w:t>单位</w:t>
      </w:r>
      <w:r>
        <w:rPr>
          <w:rFonts w:hint="eastAsia" w:ascii="仿宋_GB2312" w:eastAsia="仿宋_GB2312"/>
          <w:color w:val="auto"/>
          <w:sz w:val="32"/>
          <w:szCs w:val="32"/>
          <w:u w:val="none"/>
        </w:rPr>
        <w:t>自筹，可向金融机构贷款或通过其他合法渠道筹措解决。储备补助资金用于弥补承储</w:t>
      </w:r>
      <w:r>
        <w:rPr>
          <w:rFonts w:hint="eastAsia" w:ascii="仿宋_GB2312" w:eastAsia="仿宋_GB2312"/>
          <w:color w:val="auto"/>
          <w:sz w:val="32"/>
          <w:szCs w:val="32"/>
          <w:u w:val="none"/>
          <w:lang w:eastAsia="zh-CN"/>
        </w:rPr>
        <w:t>单位</w:t>
      </w:r>
      <w:r>
        <w:rPr>
          <w:rFonts w:hint="eastAsia" w:ascii="仿宋_GB2312" w:eastAsia="仿宋_GB2312"/>
          <w:color w:val="auto"/>
          <w:sz w:val="32"/>
          <w:szCs w:val="32"/>
          <w:u w:val="none"/>
        </w:rPr>
        <w:t>因承担省级医药储备而发生的贷款利息、仓储保管等费用。储备资金补助实行包干制，结余留用，超支不补。</w:t>
      </w:r>
      <w:r>
        <w:rPr>
          <w:rFonts w:ascii="仿宋_GB2312" w:eastAsia="仿宋_GB2312"/>
          <w:color w:val="auto"/>
          <w:sz w:val="32"/>
          <w:szCs w:val="32"/>
          <w:u w:val="none"/>
        </w:rPr>
        <w:t xml:space="preserve">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第二十九条</w:t>
      </w:r>
      <w:r>
        <w:rPr>
          <w:rFonts w:ascii="仿宋_GB2312" w:eastAsia="仿宋_GB2312"/>
          <w:color w:val="auto"/>
          <w:sz w:val="32"/>
          <w:szCs w:val="32"/>
          <w:u w:val="none"/>
        </w:rPr>
        <w:t> </w:t>
      </w:r>
      <w:r>
        <w:rPr>
          <w:rFonts w:hint="eastAsia" w:ascii="仿宋_GB2312" w:eastAsia="仿宋_GB2312"/>
          <w:color w:val="auto"/>
          <w:sz w:val="32"/>
          <w:szCs w:val="32"/>
          <w:u w:val="none"/>
        </w:rPr>
        <w:t>省工业和信息化厅按照年度预算编制工作要求，结合下一年省级医药储备计划、承储</w:t>
      </w:r>
      <w:r>
        <w:rPr>
          <w:rFonts w:hint="eastAsia" w:ascii="仿宋_GB2312" w:eastAsia="仿宋_GB2312"/>
          <w:color w:val="auto"/>
          <w:sz w:val="32"/>
          <w:szCs w:val="32"/>
          <w:u w:val="none"/>
          <w:lang w:eastAsia="zh-CN"/>
        </w:rPr>
        <w:t>单位</w:t>
      </w:r>
      <w:r>
        <w:rPr>
          <w:rFonts w:hint="eastAsia" w:ascii="仿宋_GB2312" w:eastAsia="仿宋_GB2312"/>
          <w:color w:val="auto"/>
          <w:sz w:val="32"/>
          <w:szCs w:val="32"/>
          <w:u w:val="none"/>
        </w:rPr>
        <w:t>费用需求等，提出预算编制建议。省人大预算批复后，省工业和信息化厅根据</w:t>
      </w:r>
      <w:r>
        <w:rPr>
          <w:rFonts w:hint="eastAsia" w:ascii="仿宋_GB2312" w:eastAsia="仿宋_GB2312"/>
          <w:color w:val="auto"/>
          <w:sz w:val="32"/>
          <w:szCs w:val="32"/>
          <w:u w:val="none"/>
          <w:lang w:eastAsia="zh-CN"/>
        </w:rPr>
        <w:t>承储单位</w:t>
      </w:r>
      <w:r>
        <w:rPr>
          <w:rFonts w:hint="eastAsia" w:ascii="仿宋_GB2312" w:eastAsia="仿宋_GB2312"/>
          <w:color w:val="auto"/>
          <w:sz w:val="32"/>
          <w:szCs w:val="32"/>
          <w:u w:val="none"/>
        </w:rPr>
        <w:t>承储数量、资金需求等，提出资金分配方案，经省财政厅合规性审核后，按照预算管理相关规定拨付资金。</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 xml:space="preserve">承储单位对省级医药储备补助资金的使用负责。 </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第三十一条 省工业和信息化厅负责编制绩效目标表，并定期分析项目进展、资金使用、绩效目标完成等情况，对监控发现的问题及时整改纠正，促进绩效目标如期实现。</w:t>
      </w:r>
    </w:p>
    <w:p>
      <w:pPr>
        <w:numPr>
          <w:ilvl w:val="0"/>
          <w:numId w:val="1"/>
        </w:numPr>
        <w:adjustRightInd w:val="0"/>
        <w:snapToGrid w:val="0"/>
        <w:spacing w:line="600" w:lineRule="exact"/>
        <w:jc w:val="center"/>
        <w:rPr>
          <w:rFonts w:ascii="黑体" w:hAnsi="黑体" w:eastAsia="黑体"/>
          <w:color w:val="auto"/>
          <w:sz w:val="32"/>
          <w:szCs w:val="32"/>
          <w:u w:val="none"/>
        </w:rPr>
      </w:pPr>
      <w:r>
        <w:rPr>
          <w:rFonts w:ascii="黑体" w:hAnsi="黑体" w:eastAsia="黑体"/>
          <w:color w:val="auto"/>
          <w:sz w:val="32"/>
          <w:szCs w:val="32"/>
          <w:u w:val="none"/>
        </w:rPr>
        <w:t> 监督与检查</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第三十二条　省工业和信息化厅会同省卫生健康委、省财政厅</w:t>
      </w:r>
      <w:r>
        <w:rPr>
          <w:rFonts w:hint="eastAsia" w:ascii="仿宋_GB2312" w:eastAsia="仿宋_GB2312"/>
          <w:color w:val="auto"/>
          <w:sz w:val="32"/>
          <w:szCs w:val="32"/>
          <w:u w:val="none"/>
          <w:lang w:eastAsia="zh-CN"/>
        </w:rPr>
        <w:t>每年</w:t>
      </w:r>
      <w:r>
        <w:rPr>
          <w:rFonts w:hint="eastAsia" w:ascii="仿宋_GB2312" w:eastAsia="仿宋_GB2312"/>
          <w:color w:val="auto"/>
          <w:sz w:val="32"/>
          <w:szCs w:val="32"/>
          <w:u w:val="none"/>
        </w:rPr>
        <w:t>不定期开展医药储备工作检查，督促指导承储单位落实和改进储备管理工作。</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第三十三条</w:t>
      </w:r>
      <w:r>
        <w:rPr>
          <w:rFonts w:ascii="仿宋_GB2312" w:eastAsia="仿宋_GB2312"/>
          <w:color w:val="auto"/>
          <w:sz w:val="32"/>
          <w:szCs w:val="32"/>
          <w:u w:val="none"/>
        </w:rPr>
        <w:t> </w:t>
      </w:r>
      <w:r>
        <w:rPr>
          <w:rFonts w:hint="eastAsia" w:ascii="仿宋_GB2312" w:eastAsia="仿宋_GB2312"/>
          <w:color w:val="auto"/>
          <w:sz w:val="32"/>
          <w:szCs w:val="32"/>
          <w:u w:val="none"/>
        </w:rPr>
        <w:t>承储单位违反本办法规定，由省工业和信息化厅、省卫生健康委责令其限期整改。整改后仍未到位的，可取消其承储资格。</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第三十四条　承储单位如出现管理混乱、</w:t>
      </w:r>
      <w:r>
        <w:rPr>
          <w:rFonts w:hint="eastAsia" w:ascii="仿宋_GB2312" w:eastAsia="仿宋_GB2312"/>
          <w:color w:val="auto"/>
          <w:sz w:val="32"/>
          <w:szCs w:val="32"/>
          <w:u w:val="none"/>
          <w:lang w:eastAsia="zh-CN"/>
        </w:rPr>
        <w:t>账</w:t>
      </w:r>
      <w:r>
        <w:rPr>
          <w:rFonts w:hint="eastAsia" w:ascii="仿宋_GB2312" w:eastAsia="仿宋_GB2312"/>
          <w:color w:val="auto"/>
          <w:sz w:val="32"/>
          <w:szCs w:val="32"/>
          <w:u w:val="none"/>
        </w:rPr>
        <w:t>目不清、不合理损失严重或拒报各项医药储备信息等情况，取消其医药储备任务，并收回储备补助资金。</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第三十五条　承储单位延误突发公共卫生事件处置所需医药供应，弄虚作假，管理严重混乱，依法追究有关负责人和直接负责人的责任。</w:t>
      </w:r>
    </w:p>
    <w:p>
      <w:pPr>
        <w:adjustRightInd w:val="0"/>
        <w:snapToGrid w:val="0"/>
        <w:spacing w:line="600" w:lineRule="exact"/>
        <w:jc w:val="center"/>
        <w:rPr>
          <w:rFonts w:ascii="黑体" w:hAnsi="黑体" w:eastAsia="黑体"/>
          <w:color w:val="auto"/>
          <w:sz w:val="32"/>
          <w:szCs w:val="32"/>
          <w:u w:val="none"/>
        </w:rPr>
      </w:pPr>
      <w:r>
        <w:rPr>
          <w:rFonts w:hint="eastAsia" w:ascii="黑体" w:hAnsi="黑体" w:eastAsia="黑体"/>
          <w:color w:val="auto"/>
          <w:sz w:val="32"/>
          <w:szCs w:val="32"/>
          <w:u w:val="none"/>
        </w:rPr>
        <w:t>第九章</w:t>
      </w:r>
      <w:r>
        <w:rPr>
          <w:rFonts w:ascii="黑体" w:hAnsi="黑体" w:eastAsia="黑体"/>
          <w:color w:val="auto"/>
          <w:sz w:val="32"/>
          <w:szCs w:val="32"/>
          <w:u w:val="none"/>
        </w:rPr>
        <w:t xml:space="preserve">  附 </w:t>
      </w:r>
      <w:r>
        <w:rPr>
          <w:rFonts w:hint="eastAsia" w:ascii="黑体" w:hAnsi="黑体" w:eastAsia="黑体"/>
          <w:color w:val="auto"/>
          <w:sz w:val="32"/>
          <w:szCs w:val="32"/>
          <w:u w:val="none"/>
        </w:rPr>
        <w:t>则</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第三十六条</w:t>
      </w:r>
      <w:r>
        <w:rPr>
          <w:rFonts w:ascii="仿宋_GB2312" w:eastAsia="仿宋_GB2312"/>
          <w:color w:val="auto"/>
          <w:sz w:val="32"/>
          <w:szCs w:val="32"/>
          <w:u w:val="none"/>
        </w:rPr>
        <w:t xml:space="preserve"> </w:t>
      </w:r>
      <w:r>
        <w:rPr>
          <w:rFonts w:hint="eastAsia" w:ascii="仿宋_GB2312" w:eastAsia="仿宋_GB2312"/>
          <w:color w:val="auto"/>
          <w:sz w:val="32"/>
          <w:szCs w:val="32"/>
          <w:u w:val="none"/>
        </w:rPr>
        <w:t>本办法由省工业和信息化厅、省卫生健康委、省财政厅按照各自职责解释。</w:t>
      </w:r>
    </w:p>
    <w:p>
      <w:pPr>
        <w:adjustRightInd w:val="0"/>
        <w:snapToGrid w:val="0"/>
        <w:spacing w:line="60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第三十七条　本办法</w:t>
      </w:r>
      <w:r>
        <w:rPr>
          <w:rFonts w:hint="eastAsia" w:ascii="仿宋_GB2312" w:eastAsia="仿宋_GB2312"/>
          <w:color w:val="auto"/>
          <w:sz w:val="32"/>
          <w:szCs w:val="32"/>
          <w:u w:val="none"/>
          <w:lang w:eastAsia="zh-CN"/>
        </w:rPr>
        <w:t>有效期自</w:t>
      </w:r>
      <w:r>
        <w:rPr>
          <w:rFonts w:hint="eastAsia" w:ascii="仿宋_GB2312" w:eastAsia="仿宋_GB2312"/>
          <w:color w:val="auto"/>
          <w:sz w:val="32"/>
          <w:szCs w:val="32"/>
          <w:u w:val="none"/>
          <w:lang w:val="en-US" w:eastAsia="zh-CN"/>
        </w:rPr>
        <w:t>2020年11月27日起，至2025年11月26日止。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48031"/>
    <w:multiLevelType w:val="singleLevel"/>
    <w:tmpl w:val="61648031"/>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B5"/>
    <w:rsid w:val="0001441A"/>
    <w:rsid w:val="0001448E"/>
    <w:rsid w:val="000158C0"/>
    <w:rsid w:val="0002487B"/>
    <w:rsid w:val="000547E8"/>
    <w:rsid w:val="000621A0"/>
    <w:rsid w:val="00063BE2"/>
    <w:rsid w:val="0009313C"/>
    <w:rsid w:val="000A3863"/>
    <w:rsid w:val="000B6DEB"/>
    <w:rsid w:val="000C15F8"/>
    <w:rsid w:val="000D2560"/>
    <w:rsid w:val="000D2B57"/>
    <w:rsid w:val="000D5600"/>
    <w:rsid w:val="000D5A3B"/>
    <w:rsid w:val="000E5B1B"/>
    <w:rsid w:val="000F053A"/>
    <w:rsid w:val="000F39DE"/>
    <w:rsid w:val="000F75E9"/>
    <w:rsid w:val="00102EB7"/>
    <w:rsid w:val="00113ADC"/>
    <w:rsid w:val="0012488D"/>
    <w:rsid w:val="00125F16"/>
    <w:rsid w:val="001276A8"/>
    <w:rsid w:val="00136FA9"/>
    <w:rsid w:val="0014410C"/>
    <w:rsid w:val="00145E30"/>
    <w:rsid w:val="0014638C"/>
    <w:rsid w:val="00162669"/>
    <w:rsid w:val="001668F4"/>
    <w:rsid w:val="001729E8"/>
    <w:rsid w:val="001879F4"/>
    <w:rsid w:val="00196B73"/>
    <w:rsid w:val="001A0B7E"/>
    <w:rsid w:val="001B1FC5"/>
    <w:rsid w:val="001E1B9D"/>
    <w:rsid w:val="001E377A"/>
    <w:rsid w:val="001E59B0"/>
    <w:rsid w:val="001E7C60"/>
    <w:rsid w:val="00200DBD"/>
    <w:rsid w:val="00224542"/>
    <w:rsid w:val="002272DE"/>
    <w:rsid w:val="00231C21"/>
    <w:rsid w:val="00233A3D"/>
    <w:rsid w:val="00241C63"/>
    <w:rsid w:val="00243DA1"/>
    <w:rsid w:val="00246ADA"/>
    <w:rsid w:val="00250807"/>
    <w:rsid w:val="00282501"/>
    <w:rsid w:val="002A2007"/>
    <w:rsid w:val="002A7F39"/>
    <w:rsid w:val="002B67AF"/>
    <w:rsid w:val="002B7EFD"/>
    <w:rsid w:val="002C5CC4"/>
    <w:rsid w:val="002D06C0"/>
    <w:rsid w:val="002E05A3"/>
    <w:rsid w:val="002E6489"/>
    <w:rsid w:val="003138AB"/>
    <w:rsid w:val="00321BFA"/>
    <w:rsid w:val="00324DE5"/>
    <w:rsid w:val="003332D3"/>
    <w:rsid w:val="0033569A"/>
    <w:rsid w:val="003378B5"/>
    <w:rsid w:val="00380EE7"/>
    <w:rsid w:val="00383553"/>
    <w:rsid w:val="00390397"/>
    <w:rsid w:val="003D0640"/>
    <w:rsid w:val="003D61B0"/>
    <w:rsid w:val="003E0930"/>
    <w:rsid w:val="003E41FF"/>
    <w:rsid w:val="00404D19"/>
    <w:rsid w:val="00405E38"/>
    <w:rsid w:val="00405E3B"/>
    <w:rsid w:val="004204EB"/>
    <w:rsid w:val="00421188"/>
    <w:rsid w:val="004352A0"/>
    <w:rsid w:val="00440A37"/>
    <w:rsid w:val="00445DDB"/>
    <w:rsid w:val="004613D9"/>
    <w:rsid w:val="004703E2"/>
    <w:rsid w:val="00486C88"/>
    <w:rsid w:val="0049339A"/>
    <w:rsid w:val="004A6A00"/>
    <w:rsid w:val="004B29F1"/>
    <w:rsid w:val="004C3E8A"/>
    <w:rsid w:val="004C418B"/>
    <w:rsid w:val="004E1788"/>
    <w:rsid w:val="004E197B"/>
    <w:rsid w:val="004E4DD3"/>
    <w:rsid w:val="004F114D"/>
    <w:rsid w:val="005138CE"/>
    <w:rsid w:val="005164B5"/>
    <w:rsid w:val="005224B2"/>
    <w:rsid w:val="00530AA7"/>
    <w:rsid w:val="00536837"/>
    <w:rsid w:val="005575EA"/>
    <w:rsid w:val="00565318"/>
    <w:rsid w:val="00587B32"/>
    <w:rsid w:val="00594338"/>
    <w:rsid w:val="00597D86"/>
    <w:rsid w:val="005B3600"/>
    <w:rsid w:val="005C235D"/>
    <w:rsid w:val="005C46EF"/>
    <w:rsid w:val="005C7F8A"/>
    <w:rsid w:val="005D5EE4"/>
    <w:rsid w:val="005E15AB"/>
    <w:rsid w:val="005E68B2"/>
    <w:rsid w:val="00620997"/>
    <w:rsid w:val="00623178"/>
    <w:rsid w:val="00631336"/>
    <w:rsid w:val="00633B5F"/>
    <w:rsid w:val="00636D8E"/>
    <w:rsid w:val="00642BFB"/>
    <w:rsid w:val="006464FE"/>
    <w:rsid w:val="00651313"/>
    <w:rsid w:val="00654DB2"/>
    <w:rsid w:val="0066332D"/>
    <w:rsid w:val="00667271"/>
    <w:rsid w:val="00671B8E"/>
    <w:rsid w:val="00674F32"/>
    <w:rsid w:val="0068687A"/>
    <w:rsid w:val="00694788"/>
    <w:rsid w:val="006A0610"/>
    <w:rsid w:val="006A48F6"/>
    <w:rsid w:val="006B0E56"/>
    <w:rsid w:val="006B7680"/>
    <w:rsid w:val="006C1DBB"/>
    <w:rsid w:val="006C3878"/>
    <w:rsid w:val="006C3BED"/>
    <w:rsid w:val="006C3F94"/>
    <w:rsid w:val="006C5046"/>
    <w:rsid w:val="006D0114"/>
    <w:rsid w:val="006D52D5"/>
    <w:rsid w:val="006E0E8A"/>
    <w:rsid w:val="007012C1"/>
    <w:rsid w:val="007143BE"/>
    <w:rsid w:val="00716734"/>
    <w:rsid w:val="00731A20"/>
    <w:rsid w:val="00734B96"/>
    <w:rsid w:val="00736B4F"/>
    <w:rsid w:val="00736D68"/>
    <w:rsid w:val="00755324"/>
    <w:rsid w:val="007576EA"/>
    <w:rsid w:val="00766A77"/>
    <w:rsid w:val="007670C2"/>
    <w:rsid w:val="00767FD8"/>
    <w:rsid w:val="00767FE9"/>
    <w:rsid w:val="0079448B"/>
    <w:rsid w:val="007B0CE5"/>
    <w:rsid w:val="007C0AA3"/>
    <w:rsid w:val="007D146C"/>
    <w:rsid w:val="007D146F"/>
    <w:rsid w:val="007D5296"/>
    <w:rsid w:val="007F6331"/>
    <w:rsid w:val="007F75D1"/>
    <w:rsid w:val="0080106B"/>
    <w:rsid w:val="008177B8"/>
    <w:rsid w:val="00822F2A"/>
    <w:rsid w:val="00825665"/>
    <w:rsid w:val="0084677C"/>
    <w:rsid w:val="00865625"/>
    <w:rsid w:val="00866428"/>
    <w:rsid w:val="008B6857"/>
    <w:rsid w:val="008C4935"/>
    <w:rsid w:val="008D35C8"/>
    <w:rsid w:val="008D4EF4"/>
    <w:rsid w:val="008F7695"/>
    <w:rsid w:val="00906FFB"/>
    <w:rsid w:val="00922457"/>
    <w:rsid w:val="0093613E"/>
    <w:rsid w:val="00947A68"/>
    <w:rsid w:val="00963398"/>
    <w:rsid w:val="00963BCE"/>
    <w:rsid w:val="00976137"/>
    <w:rsid w:val="00976CCA"/>
    <w:rsid w:val="00994188"/>
    <w:rsid w:val="009A2A5F"/>
    <w:rsid w:val="009A4678"/>
    <w:rsid w:val="009B1E6A"/>
    <w:rsid w:val="009B465A"/>
    <w:rsid w:val="009B7ADB"/>
    <w:rsid w:val="009C06B0"/>
    <w:rsid w:val="009C1B4C"/>
    <w:rsid w:val="009C7846"/>
    <w:rsid w:val="009D0135"/>
    <w:rsid w:val="009D0999"/>
    <w:rsid w:val="009E6914"/>
    <w:rsid w:val="009F1D5D"/>
    <w:rsid w:val="009F7EB5"/>
    <w:rsid w:val="00A162D7"/>
    <w:rsid w:val="00A23774"/>
    <w:rsid w:val="00A4710A"/>
    <w:rsid w:val="00A53D41"/>
    <w:rsid w:val="00A57073"/>
    <w:rsid w:val="00A571C4"/>
    <w:rsid w:val="00A6047A"/>
    <w:rsid w:val="00A61E18"/>
    <w:rsid w:val="00A809AD"/>
    <w:rsid w:val="00A92C53"/>
    <w:rsid w:val="00A97624"/>
    <w:rsid w:val="00AA2649"/>
    <w:rsid w:val="00AA6A57"/>
    <w:rsid w:val="00AB2129"/>
    <w:rsid w:val="00AD36A2"/>
    <w:rsid w:val="00AE245E"/>
    <w:rsid w:val="00AF02F8"/>
    <w:rsid w:val="00B05D9A"/>
    <w:rsid w:val="00B1419E"/>
    <w:rsid w:val="00B21595"/>
    <w:rsid w:val="00B21F2A"/>
    <w:rsid w:val="00B258D3"/>
    <w:rsid w:val="00B31693"/>
    <w:rsid w:val="00B53A37"/>
    <w:rsid w:val="00B62FEA"/>
    <w:rsid w:val="00B66660"/>
    <w:rsid w:val="00B7456B"/>
    <w:rsid w:val="00B754C7"/>
    <w:rsid w:val="00B76F9C"/>
    <w:rsid w:val="00B814B5"/>
    <w:rsid w:val="00B8533B"/>
    <w:rsid w:val="00B931B0"/>
    <w:rsid w:val="00B94E23"/>
    <w:rsid w:val="00BA6212"/>
    <w:rsid w:val="00BD0978"/>
    <w:rsid w:val="00BD61E2"/>
    <w:rsid w:val="00BF434D"/>
    <w:rsid w:val="00BF5CF5"/>
    <w:rsid w:val="00C165CC"/>
    <w:rsid w:val="00C21220"/>
    <w:rsid w:val="00C338FE"/>
    <w:rsid w:val="00C35283"/>
    <w:rsid w:val="00C456F0"/>
    <w:rsid w:val="00C84883"/>
    <w:rsid w:val="00CA770D"/>
    <w:rsid w:val="00CB0423"/>
    <w:rsid w:val="00CB07B9"/>
    <w:rsid w:val="00CB2A53"/>
    <w:rsid w:val="00CC4D4C"/>
    <w:rsid w:val="00CF758E"/>
    <w:rsid w:val="00D05581"/>
    <w:rsid w:val="00D1197D"/>
    <w:rsid w:val="00D23B41"/>
    <w:rsid w:val="00D25ADA"/>
    <w:rsid w:val="00D57496"/>
    <w:rsid w:val="00D57CD4"/>
    <w:rsid w:val="00D672D2"/>
    <w:rsid w:val="00D81FD5"/>
    <w:rsid w:val="00D82077"/>
    <w:rsid w:val="00D83AA1"/>
    <w:rsid w:val="00D861D0"/>
    <w:rsid w:val="00DA1DB2"/>
    <w:rsid w:val="00DB4AB7"/>
    <w:rsid w:val="00DC518E"/>
    <w:rsid w:val="00DD39C3"/>
    <w:rsid w:val="00DE7667"/>
    <w:rsid w:val="00DF00AD"/>
    <w:rsid w:val="00E021FE"/>
    <w:rsid w:val="00E13DA6"/>
    <w:rsid w:val="00E161CA"/>
    <w:rsid w:val="00E36909"/>
    <w:rsid w:val="00E43025"/>
    <w:rsid w:val="00E53F52"/>
    <w:rsid w:val="00E61EAC"/>
    <w:rsid w:val="00E6322F"/>
    <w:rsid w:val="00E76EB2"/>
    <w:rsid w:val="00E87BC0"/>
    <w:rsid w:val="00EA21C9"/>
    <w:rsid w:val="00EA562D"/>
    <w:rsid w:val="00EC0612"/>
    <w:rsid w:val="00ED03F3"/>
    <w:rsid w:val="00ED11F2"/>
    <w:rsid w:val="00ED7148"/>
    <w:rsid w:val="00EE0299"/>
    <w:rsid w:val="00EF048D"/>
    <w:rsid w:val="00EF7A38"/>
    <w:rsid w:val="00F02E29"/>
    <w:rsid w:val="00F20343"/>
    <w:rsid w:val="00F24713"/>
    <w:rsid w:val="00F51D67"/>
    <w:rsid w:val="00F53AD7"/>
    <w:rsid w:val="00F654BB"/>
    <w:rsid w:val="00F76031"/>
    <w:rsid w:val="00F811CA"/>
    <w:rsid w:val="00F94669"/>
    <w:rsid w:val="00FA2488"/>
    <w:rsid w:val="00FB1F81"/>
    <w:rsid w:val="00FB315B"/>
    <w:rsid w:val="00FB6378"/>
    <w:rsid w:val="00FD0851"/>
    <w:rsid w:val="00FD14E3"/>
    <w:rsid w:val="00FF3E68"/>
    <w:rsid w:val="031C0BCE"/>
    <w:rsid w:val="03C60B03"/>
    <w:rsid w:val="040D7AA5"/>
    <w:rsid w:val="048C1F18"/>
    <w:rsid w:val="04CD0A58"/>
    <w:rsid w:val="04CE18D2"/>
    <w:rsid w:val="05CD3F6A"/>
    <w:rsid w:val="06B865C8"/>
    <w:rsid w:val="08BF4666"/>
    <w:rsid w:val="09641CA2"/>
    <w:rsid w:val="0BB25248"/>
    <w:rsid w:val="0C9707A4"/>
    <w:rsid w:val="0E282048"/>
    <w:rsid w:val="0F427AAF"/>
    <w:rsid w:val="10152525"/>
    <w:rsid w:val="106D18DB"/>
    <w:rsid w:val="10FF575D"/>
    <w:rsid w:val="110C04AD"/>
    <w:rsid w:val="114C171D"/>
    <w:rsid w:val="11503577"/>
    <w:rsid w:val="12323D37"/>
    <w:rsid w:val="13DE59DA"/>
    <w:rsid w:val="14F50C33"/>
    <w:rsid w:val="15A20BDD"/>
    <w:rsid w:val="15B61314"/>
    <w:rsid w:val="17EB1971"/>
    <w:rsid w:val="180554AC"/>
    <w:rsid w:val="18436BF5"/>
    <w:rsid w:val="18FD3663"/>
    <w:rsid w:val="1A2A4DB7"/>
    <w:rsid w:val="1B0A4C41"/>
    <w:rsid w:val="1B24765F"/>
    <w:rsid w:val="1C112DD5"/>
    <w:rsid w:val="1C5C126E"/>
    <w:rsid w:val="1C5E4101"/>
    <w:rsid w:val="1D0F46DD"/>
    <w:rsid w:val="1DED7F0F"/>
    <w:rsid w:val="1E143631"/>
    <w:rsid w:val="1E1E1B3E"/>
    <w:rsid w:val="1E3507B2"/>
    <w:rsid w:val="1E4773A3"/>
    <w:rsid w:val="1F571AB2"/>
    <w:rsid w:val="1F9F3F54"/>
    <w:rsid w:val="212F3245"/>
    <w:rsid w:val="21B1159A"/>
    <w:rsid w:val="22486F94"/>
    <w:rsid w:val="23640262"/>
    <w:rsid w:val="23A95743"/>
    <w:rsid w:val="24001913"/>
    <w:rsid w:val="2464726E"/>
    <w:rsid w:val="26763240"/>
    <w:rsid w:val="26A213C3"/>
    <w:rsid w:val="26E07F5F"/>
    <w:rsid w:val="273E16D7"/>
    <w:rsid w:val="27834020"/>
    <w:rsid w:val="27A34E7B"/>
    <w:rsid w:val="29077F4C"/>
    <w:rsid w:val="290C4489"/>
    <w:rsid w:val="2CAA00ED"/>
    <w:rsid w:val="2CC65D68"/>
    <w:rsid w:val="2DD1217B"/>
    <w:rsid w:val="2E092223"/>
    <w:rsid w:val="2EB94575"/>
    <w:rsid w:val="2EF07F18"/>
    <w:rsid w:val="2F26665E"/>
    <w:rsid w:val="2FC01D03"/>
    <w:rsid w:val="30D13D87"/>
    <w:rsid w:val="3117247C"/>
    <w:rsid w:val="328C74C3"/>
    <w:rsid w:val="33225B2C"/>
    <w:rsid w:val="34F50883"/>
    <w:rsid w:val="36F05DDC"/>
    <w:rsid w:val="377D6391"/>
    <w:rsid w:val="37F35739"/>
    <w:rsid w:val="381A3F2D"/>
    <w:rsid w:val="39683A08"/>
    <w:rsid w:val="3A872CAE"/>
    <w:rsid w:val="3ABE5857"/>
    <w:rsid w:val="3DBA6DD0"/>
    <w:rsid w:val="3E96447D"/>
    <w:rsid w:val="3F037A10"/>
    <w:rsid w:val="3F810D68"/>
    <w:rsid w:val="405F1C3D"/>
    <w:rsid w:val="41E51F8C"/>
    <w:rsid w:val="4358160B"/>
    <w:rsid w:val="437E7DCA"/>
    <w:rsid w:val="44F145C0"/>
    <w:rsid w:val="45753080"/>
    <w:rsid w:val="4618453A"/>
    <w:rsid w:val="46A033F6"/>
    <w:rsid w:val="48F61366"/>
    <w:rsid w:val="49813CB6"/>
    <w:rsid w:val="49DC4FBF"/>
    <w:rsid w:val="4A115E36"/>
    <w:rsid w:val="4A7475C0"/>
    <w:rsid w:val="4ABB0D23"/>
    <w:rsid w:val="4AF80813"/>
    <w:rsid w:val="4BD27D47"/>
    <w:rsid w:val="4C6C2A96"/>
    <w:rsid w:val="4C8F2596"/>
    <w:rsid w:val="4DD6629A"/>
    <w:rsid w:val="4E911930"/>
    <w:rsid w:val="4EFC6791"/>
    <w:rsid w:val="5028493B"/>
    <w:rsid w:val="50772B68"/>
    <w:rsid w:val="509E7C93"/>
    <w:rsid w:val="50CF276F"/>
    <w:rsid w:val="50E07300"/>
    <w:rsid w:val="52074F43"/>
    <w:rsid w:val="529F213C"/>
    <w:rsid w:val="53805B4D"/>
    <w:rsid w:val="53DB5B68"/>
    <w:rsid w:val="5431744D"/>
    <w:rsid w:val="5500491E"/>
    <w:rsid w:val="55557966"/>
    <w:rsid w:val="5586277A"/>
    <w:rsid w:val="558720EF"/>
    <w:rsid w:val="57751A1E"/>
    <w:rsid w:val="5880752A"/>
    <w:rsid w:val="596C3A29"/>
    <w:rsid w:val="59BF5BF4"/>
    <w:rsid w:val="59FC2587"/>
    <w:rsid w:val="5A351E6C"/>
    <w:rsid w:val="5ADC52E0"/>
    <w:rsid w:val="5BFE47E8"/>
    <w:rsid w:val="5F545A75"/>
    <w:rsid w:val="5F623181"/>
    <w:rsid w:val="5FBE6447"/>
    <w:rsid w:val="614E4E4A"/>
    <w:rsid w:val="61CE1E9F"/>
    <w:rsid w:val="62331014"/>
    <w:rsid w:val="6234029A"/>
    <w:rsid w:val="62D92A3A"/>
    <w:rsid w:val="63316F75"/>
    <w:rsid w:val="64132568"/>
    <w:rsid w:val="641C3631"/>
    <w:rsid w:val="64A00FFB"/>
    <w:rsid w:val="64B00F6F"/>
    <w:rsid w:val="64B85930"/>
    <w:rsid w:val="650475FC"/>
    <w:rsid w:val="654445C0"/>
    <w:rsid w:val="655276BE"/>
    <w:rsid w:val="663A0445"/>
    <w:rsid w:val="68C51AB5"/>
    <w:rsid w:val="6ABD5814"/>
    <w:rsid w:val="6ADA1182"/>
    <w:rsid w:val="6B443551"/>
    <w:rsid w:val="6B8F62B8"/>
    <w:rsid w:val="6E1C2C64"/>
    <w:rsid w:val="6E662693"/>
    <w:rsid w:val="6EC117E8"/>
    <w:rsid w:val="7040164F"/>
    <w:rsid w:val="70A96485"/>
    <w:rsid w:val="710E7632"/>
    <w:rsid w:val="71FB204D"/>
    <w:rsid w:val="733E6361"/>
    <w:rsid w:val="7404069A"/>
    <w:rsid w:val="752018F4"/>
    <w:rsid w:val="76E27CA1"/>
    <w:rsid w:val="78FC1444"/>
    <w:rsid w:val="79C4645D"/>
    <w:rsid w:val="79F80251"/>
    <w:rsid w:val="7AEA73E0"/>
    <w:rsid w:val="7AF76FC1"/>
    <w:rsid w:val="7C241DED"/>
    <w:rsid w:val="7C587EF4"/>
    <w:rsid w:val="7D785CB6"/>
    <w:rsid w:val="7F19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FollowedHyperlink"/>
    <w:basedOn w:val="7"/>
    <w:semiHidden/>
    <w:unhideWhenUsed/>
    <w:qFormat/>
    <w:uiPriority w:val="99"/>
    <w:rPr>
      <w:color w:val="333333"/>
      <w:u w:val="none"/>
    </w:rPr>
  </w:style>
  <w:style w:type="character" w:styleId="10">
    <w:name w:val="Hyperlink"/>
    <w:basedOn w:val="7"/>
    <w:semiHidden/>
    <w:unhideWhenUsed/>
    <w:qFormat/>
    <w:uiPriority w:val="99"/>
    <w:rPr>
      <w:color w:val="333333"/>
      <w:u w:val="non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012A3E-F87A-4883-916C-A489E5096BC9}">
  <ds:schemaRefs/>
</ds:datastoreItem>
</file>

<file path=docProps/app.xml><?xml version="1.0" encoding="utf-8"?>
<Properties xmlns="http://schemas.openxmlformats.org/officeDocument/2006/extended-properties" xmlns:vt="http://schemas.openxmlformats.org/officeDocument/2006/docPropsVTypes">
  <Template>Normal</Template>
  <Pages>6</Pages>
  <Words>519</Words>
  <Characters>2962</Characters>
  <Lines>24</Lines>
  <Paragraphs>6</Paragraphs>
  <TotalTime>0</TotalTime>
  <ScaleCrop>false</ScaleCrop>
  <LinksUpToDate>false</LinksUpToDate>
  <CharactersWithSpaces>3475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2020-07-22T05:47:00Z</dcterms:created>
  <dc:creator>王文芳</dc:creator>
  <cp:lastModifiedBy>柳暗花明</cp:lastModifiedBy>
  <cp:lastPrinted>2020-10-28T09:21:00Z</cp:lastPrinted>
  <dcterms:modified xsi:type="dcterms:W3CDTF">2020-12-04T15:16:28Z</dcterms:modified>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