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山东省工业和信息化厅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山东省科学技术厅</w:t>
      </w:r>
    </w:p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山东省财政厅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山东省商务厅</w:t>
      </w:r>
    </w:p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山东省国有资产监督管理委员会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中国证券监督管理委员会山东监管局</w:t>
      </w:r>
    </w:p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关于加快培育发展制造业优质企业</w:t>
      </w:r>
    </w:p>
    <w:p w:rsidR="003675F3" w:rsidRDefault="00B000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的实施意见</w:t>
      </w:r>
    </w:p>
    <w:p w:rsidR="00B000CA" w:rsidRDefault="00B000CA" w:rsidP="00B000CA">
      <w:pPr>
        <w:pStyle w:val="a5"/>
        <w:widowControl/>
        <w:spacing w:beforeAutospacing="0" w:afterAutospacing="0" w:line="640" w:lineRule="exact"/>
        <w:jc w:val="center"/>
        <w:rPr>
          <w:rFonts w:ascii="仿宋_GB2312" w:eastAsia="仿宋_GB2312" w:hAnsi="仿宋_GB2312" w:cs="仿宋_GB2312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鲁工信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发〔2021〕5号</w:t>
      </w:r>
    </w:p>
    <w:p w:rsidR="00B000CA" w:rsidRPr="00B000CA" w:rsidRDefault="00B000CA" w:rsidP="00B000CA">
      <w:pPr>
        <w:pStyle w:val="2"/>
        <w:rPr>
          <w:rFonts w:hint="eastAsia"/>
        </w:rPr>
      </w:pPr>
    </w:p>
    <w:p w:rsidR="003675F3" w:rsidRDefault="00B000CA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工业和信息化、科技、财政、商务、国资主管部门，各有关单位：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工业和信息化部等六部委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《关于加快培育发展制造业优质企业的指导意见》（工信部联政法</w:t>
      </w:r>
      <w:r>
        <w:rPr>
          <w:rFonts w:ascii="仿宋_GB2312" w:eastAsia="仿宋_GB2312" w:hAnsi="仿宋_GB2312" w:cs="仿宋_GB2312" w:hint="eastAsia"/>
          <w:sz w:val="32"/>
          <w:szCs w:val="32"/>
        </w:rPr>
        <w:t>[2021]70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我省制造业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优质企业持续做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强做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优做大，提升产业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链现代化水平，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促进全省制造业</w:t>
      </w:r>
      <w:r>
        <w:rPr>
          <w:rFonts w:ascii="仿宋_GB2312" w:eastAsia="仿宋_GB2312" w:hAnsi="仿宋_GB2312" w:cs="仿宋_GB2312" w:hint="eastAsia"/>
          <w:sz w:val="32"/>
          <w:szCs w:val="32"/>
        </w:rPr>
        <w:t>高质量发展，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现提出如下实施意见。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总体</w:t>
      </w:r>
      <w:r>
        <w:rPr>
          <w:rFonts w:ascii="黑体" w:eastAsia="黑体" w:hAnsi="黑体" w:cs="黑体" w:hint="eastAsia"/>
          <w:sz w:val="32"/>
          <w:szCs w:val="32"/>
        </w:rPr>
        <w:t>要求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（一）指导思想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全面贯彻党的十九大和十九届二中、三中、四中、五中全会精神，以推动企业高质量发展为主题，加快培育发展以专精特新“小巨人”企业、制造业单项冠军企业、产业链领航企业（以下简称“小巨人”企业、单项冠军企业、领航企业）为代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的优质企业，发挥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领头雁、排头兵作用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统筹推进产业基础高级化和产业链现代化，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进一步培育优良产业生态，推进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</w:t>
      </w:r>
      <w:r>
        <w:rPr>
          <w:rFonts w:ascii="仿宋_GB2312" w:eastAsia="仿宋_GB2312" w:hAnsi="仿宋_GB2312" w:cs="仿宋_GB2312" w:hint="eastAsia"/>
          <w:sz w:val="32"/>
          <w:szCs w:val="32"/>
        </w:rPr>
        <w:t>强省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不断迈上新台阶。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（二）基本原则</w:t>
      </w:r>
    </w:p>
    <w:p w:rsidR="003675F3" w:rsidRDefault="00B000CA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sz w:val="32"/>
          <w:szCs w:val="32"/>
        </w:rPr>
        <w:t>市场主导、政策引导。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充分发挥市场在资源配置中的决定性作用，更好发挥政府作用，加快完善“要素跟着重点项目走、政策对着产业生态定”的机制，以深化“放管服”为突破口，激发市场主体活力，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创新体制机制，营造一流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环境。</w:t>
      </w:r>
    </w:p>
    <w:p w:rsidR="003675F3" w:rsidRDefault="00B000CA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质量第一、效益优先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建立健全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高质量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标准体系，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发展先进制造业，推动企业持续做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优做大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提高先进产能比例，提高全球竞争力和生态主导力，巩固提升全球地位，带动提升产业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链现代化水平，推进制造业向价值链中高端跃升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创新引领、协同发展。</w:t>
      </w:r>
      <w:r>
        <w:rPr>
          <w:rStyle w:val="3Char"/>
          <w:rFonts w:ascii="仿宋_GB2312" w:hAnsi="仿宋_GB2312" w:cs="仿宋_GB2312" w:hint="eastAsia"/>
          <w:b w:val="0"/>
          <w:bCs w:val="0"/>
          <w:szCs w:val="32"/>
        </w:rPr>
        <w:t>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创新驱动发展战略，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推动源头创新、技术创新、产业创新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，加强“</w:t>
      </w:r>
      <w:r>
        <w:rPr>
          <w:rFonts w:ascii="仿宋_GB2312" w:eastAsia="仿宋_GB2312" w:hAnsi="仿宋_GB2312" w:cs="仿宋_GB2312" w:hint="eastAsia"/>
          <w:sz w:val="32"/>
          <w:szCs w:val="32"/>
        </w:rPr>
        <w:t>卡脖子</w:t>
      </w:r>
      <w:r>
        <w:rPr>
          <w:rFonts w:ascii="仿宋_GB2312" w:eastAsia="仿宋_GB2312" w:hAnsi="仿宋_GB2312" w:cs="仿宋_GB2312" w:hint="eastAsia"/>
          <w:sz w:val="32"/>
          <w:szCs w:val="32"/>
        </w:rPr>
        <w:t>”关键核心技术攻关，构建科技、教育、产业紧密结合的创新生态，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链部署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创新链、围绕创新链布局产业链，加快提升产业基础能力和产业链现代化水平。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．龙头带动、优化生态。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加强优质企业梯度培育，发挥龙头企业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维护产业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链安全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引领和掌握产业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，带动产业链质量效率整体提升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创新能力和专业化水平，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提升全行业创新、制造、服务能力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大中小企业协同创新、资源共享、</w:t>
      </w:r>
      <w:r>
        <w:rPr>
          <w:rFonts w:ascii="仿宋_GB2312" w:eastAsia="仿宋_GB2312" w:hAnsi="仿宋_GB2312" w:cs="仿宋_GB2312" w:hint="eastAsia"/>
          <w:sz w:val="32"/>
          <w:szCs w:val="32"/>
        </w:rPr>
        <w:t>融通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发展的产业生态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（三）主要目标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重点行业和领域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聚焦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重点产业链，</w:t>
      </w:r>
      <w:r>
        <w:rPr>
          <w:rFonts w:ascii="仿宋_GB2312" w:eastAsia="仿宋_GB2312" w:hAnsi="仿宋_GB2312" w:cs="仿宋_GB2312" w:hint="eastAsia"/>
          <w:sz w:val="32"/>
          <w:szCs w:val="32"/>
        </w:rPr>
        <w:t>筛选</w:t>
      </w:r>
      <w:r>
        <w:rPr>
          <w:rFonts w:ascii="仿宋_GB2312" w:eastAsia="仿宋_GB2312" w:hAnsi="仿宋_GB2312" w:cs="仿宋_GB2312" w:hint="eastAsia"/>
          <w:sz w:val="32"/>
          <w:szCs w:val="32"/>
        </w:rPr>
        <w:t>一批有能力、有志向引领产业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链发展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的优秀企业开展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引导“专精特新”中小企业成长为国内市场领先的“小巨人”企业，引导“小巨人”等各类企业成长为国际市场领先的单项冠军企业，引导大企业集团发展成为具有生态主导力、国际竞争力的领航企业。力争到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年，新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省级以上制造业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专精特新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家、</w:t>
      </w:r>
      <w:r>
        <w:rPr>
          <w:rFonts w:ascii="仿宋_GB2312" w:eastAsia="仿宋_GB2312" w:hAnsi="仿宋_GB2312" w:cs="仿宋_GB2312" w:hint="eastAsia"/>
          <w:sz w:val="32"/>
          <w:szCs w:val="32"/>
        </w:rPr>
        <w:t>小巨人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家、单项冠军企业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家和领航企业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家左右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梯度培育格局基本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75F3" w:rsidRDefault="00B000CA">
      <w:pPr>
        <w:pStyle w:val="a5"/>
        <w:widowControl/>
        <w:numPr>
          <w:ilvl w:val="0"/>
          <w:numId w:val="1"/>
        </w:numPr>
        <w:spacing w:beforeAutospacing="0" w:afterAutospacing="0" w:line="64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重点任务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建立</w:t>
      </w:r>
      <w:r>
        <w:rPr>
          <w:rFonts w:ascii="楷体" w:eastAsia="楷体" w:hAnsi="楷体" w:cs="楷体" w:hint="eastAsia"/>
          <w:sz w:val="32"/>
          <w:szCs w:val="32"/>
        </w:rPr>
        <w:t>优质</w:t>
      </w:r>
      <w:r>
        <w:rPr>
          <w:rFonts w:ascii="楷体" w:eastAsia="楷体" w:hAnsi="楷体" w:cs="楷体" w:hint="eastAsia"/>
          <w:sz w:val="32"/>
          <w:szCs w:val="32"/>
        </w:rPr>
        <w:t>企业</w:t>
      </w:r>
      <w:r>
        <w:rPr>
          <w:rFonts w:ascii="楷体" w:eastAsia="楷体" w:hAnsi="楷体" w:cs="楷体" w:hint="eastAsia"/>
          <w:sz w:val="32"/>
          <w:szCs w:val="32"/>
        </w:rPr>
        <w:t>梯度</w:t>
      </w:r>
      <w:r>
        <w:rPr>
          <w:rFonts w:ascii="楷体" w:eastAsia="楷体" w:hAnsi="楷体" w:cs="楷体" w:hint="eastAsia"/>
          <w:sz w:val="32"/>
          <w:szCs w:val="32"/>
        </w:rPr>
        <w:t>培育库。</w:t>
      </w:r>
      <w:r>
        <w:rPr>
          <w:rFonts w:ascii="仿宋_GB2312" w:eastAsia="仿宋_GB2312" w:hAnsi="仿宋_GB2312" w:cs="仿宋_GB2312" w:hint="eastAsia"/>
          <w:sz w:val="32"/>
          <w:szCs w:val="32"/>
        </w:rPr>
        <w:t>聚焦我省产业基础雄厚、比较优势明显、发展潜力较大的重点产业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，确定一批</w:t>
      </w:r>
      <w:r>
        <w:rPr>
          <w:rFonts w:ascii="仿宋_GB2312" w:eastAsia="仿宋_GB2312" w:hAnsi="仿宋_GB2312" w:cs="仿宋_GB2312" w:hint="eastAsia"/>
          <w:sz w:val="32"/>
          <w:szCs w:val="32"/>
        </w:rPr>
        <w:t>有潜力、有积极性的企业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入库培育，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重点打造一批主营业务突出、生产管理精细、工艺技术独特、创新能力强、增长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</w:t>
      </w:r>
      <w:r>
        <w:rPr>
          <w:rFonts w:ascii="仿宋_GB2312" w:eastAsia="仿宋_GB2312" w:hAnsi="仿宋_GB2312" w:cs="仿宋_GB2312" w:hint="eastAsia"/>
          <w:sz w:val="32"/>
          <w:szCs w:val="32"/>
        </w:rPr>
        <w:t>快、发展潜力大的“小巨人”企业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重点培育一批长期深耕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产业链某一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环节或产品，掌握关键核心技术，在终端产品或中间产品拥有较高的市场地位和市场份额的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单项冠军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重点培育一批具有生态主导能力、综合实力较强，相关业务具有国内市场话语权的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产业链领航型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省工业和信息化厅牵头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3675F3" w:rsidRDefault="00B000CA">
      <w:pPr>
        <w:spacing w:line="64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kern w:val="0"/>
          <w:sz w:val="32"/>
          <w:szCs w:val="32"/>
          <w:lang w:bidi="ar"/>
        </w:rPr>
        <w:t>（二）提高优质企业自主创新能力。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优质企业牵头或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参与制造业创新中心、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技术创新中心、重点实验室</w:t>
      </w:r>
      <w:r>
        <w:rPr>
          <w:rFonts w:ascii="仿宋_GB2312" w:eastAsia="仿宋_GB2312" w:hAnsi="仿宋_GB2312" w:cs="仿宋_GB2312" w:hint="eastAsia"/>
          <w:sz w:val="32"/>
          <w:szCs w:val="32"/>
        </w:rPr>
        <w:t>等创新平台建设，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</w:t>
      </w:r>
      <w:r>
        <w:rPr>
          <w:rFonts w:ascii="仿宋_GB2312" w:eastAsia="仿宋_GB2312" w:hAnsi="仿宋_GB2312" w:cs="仿宋_GB2312" w:hint="eastAsia"/>
          <w:sz w:val="32"/>
          <w:szCs w:val="32"/>
        </w:rPr>
        <w:t>施重大关键技术攻关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产业化项目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针对产业链空白、薄弱环节，组织实施产业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链固基强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基工程，鼓励领航企业积极“揭榜挂帅”，组织产业链上下游企业协同攻关，集中力量攻克产业“卡脖子”难题。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鼓励企业组建创新联合体，加大协同创新力度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，加大基础零部件、基础电子元器件、基础软件、基础材料、基础工艺、高端仪器设备、集成电路、网络安全等领域关键核心技术、产品、装备攻关和示范应用。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落实创新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政策，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推动大型仪器设备资源在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高校、科研院所、优质企业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间共建共享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建设生产应用示范平台和产业技术基础公共服务平台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。完善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重点产业链产学研定期对接机制，加强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、省内高校、研发机构之间的融合发展，推动产学研</w:t>
      </w:r>
      <w:r>
        <w:rPr>
          <w:rFonts w:ascii="仿宋_GB2312" w:eastAsia="仿宋_GB2312" w:hAnsi="仿宋_GB2312" w:cs="仿宋_GB2312" w:hint="eastAsia"/>
          <w:sz w:val="32"/>
          <w:szCs w:val="32"/>
        </w:rPr>
        <w:t>协同创新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（省科技厅、省工业和信息化厅按职责分工负责）</w:t>
      </w:r>
    </w:p>
    <w:p w:rsidR="003675F3" w:rsidRDefault="00B000CA">
      <w:pPr>
        <w:pStyle w:val="a4"/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kern w:val="0"/>
          <w:sz w:val="32"/>
          <w:szCs w:val="32"/>
          <w:lang w:bidi="ar"/>
        </w:rPr>
        <w:t>（三）提高企业管理现代化水平。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以新发展理念为引领，深入开展企业管理系统提升专项行动，鼓励推动组织管理变革，加强全面质量管理、强化资源集约管理和配置、做好风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险防控，创新生产经营模式，提升全要素生产率。定期选树一批企业管理创新优秀成果，示范推广先进管理经验和工具方法，开展重点行业对标提升活动。弘扬企业家精神和工匠精神，加强企业诚信建设，支持优质企业申报山东省百强企业和优秀企业家。加大企业社会责任建设力度，增强风险防范和价值创造能力。引导企业重视企业文化建设，提高企业员工凝聚力、创造力和社会认同感。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（省工业和信息化厅、省国资委按职责分工负责）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</w:rPr>
        <w:t>（四）提升产业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链供应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链现代化水平。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充分发挥优质企业在增强产业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链自主可控能力中的中坚作用，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制造业重点产业链链长制工作推进机制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统筹推进固根基、扬优势、补短板、强弱项各项工作，切实提升产业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链的稳定性和竞争力。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组织领航企业开展产业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链梳理，鼓励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优质企业围绕主业和产业链上下游通过并购</w:t>
      </w:r>
      <w:r>
        <w:rPr>
          <w:rFonts w:ascii="仿宋_GB2312" w:eastAsia="仿宋_GB2312" w:hAnsi="仿宋_GB2312" w:cs="仿宋_GB2312" w:hint="eastAsia"/>
          <w:sz w:val="32"/>
          <w:szCs w:val="32"/>
        </w:rPr>
        <w:t>重组、资本运作、战略合作等方式整合产业资源，提升产业链竞争力和抗风险能力。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创建供应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与应用示范示范</w:t>
      </w:r>
      <w:r>
        <w:rPr>
          <w:rFonts w:ascii="仿宋_GB2312" w:eastAsia="仿宋_GB2312" w:hAnsi="仿宋_GB2312" w:cs="仿宋_GB2312"/>
          <w:sz w:val="32"/>
          <w:szCs w:val="32"/>
        </w:rPr>
        <w:t>城市和示范企业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，培育一批制造业现代供应链示范企业。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推动省属国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有资本向关系国家安全、国民经济命脉的重要行业领域集中，加快在制造业关键环节和中高端领域布局。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引导有意愿的单项冠军企业、领航企业带动关联产业向中西部和东北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地区有序转移，促进区域协同发展。</w:t>
      </w:r>
      <w:r>
        <w:rPr>
          <w:rFonts w:ascii="楷体_GB2312" w:eastAsia="楷体_GB2312" w:hAnsi="楷体_GB2312" w:cs="楷体_GB2312" w:hint="eastAsia"/>
          <w:sz w:val="32"/>
          <w:szCs w:val="32"/>
        </w:rPr>
        <w:t>（省工业和信息化厅、省商务厅、省国资委</w:t>
      </w:r>
      <w:r>
        <w:rPr>
          <w:rFonts w:ascii="楷体_GB2312" w:eastAsia="楷体_GB2312" w:hAnsi="楷体_GB2312" w:cs="楷体_GB2312" w:hint="eastAsia"/>
          <w:sz w:val="32"/>
          <w:szCs w:val="32"/>
        </w:rPr>
        <w:t>按职责分工负责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</w:rPr>
        <w:t>（五）引导优质企业高端化智能化绿色化发展。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标世界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流企业，加快推进先进制造业和现代服务业融合发展，滚动实施“万项技改、万企转型”，深入开展山东省百年品牌培育工程，推进“山东制造•网行天下”专项行动，提升山东制造品牌影响力，提高中高端供给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加快研发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推广一批高水平智能制造装备，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创建一批示范引领作用强、综合效益显著的智能工厂（数字化车间），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一批智能制造标杆企业，探索形成一批成效明显、可复制、可推广的智能制造新模式，提升智能制造水平和应用能级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Style w:val="3Char"/>
          <w:rFonts w:ascii="仿宋_GB2312" w:hAnsi="仿宋_GB2312" w:cs="仿宋_GB2312" w:hint="eastAsia"/>
          <w:b w:val="0"/>
          <w:bCs w:val="0"/>
          <w:szCs w:val="32"/>
        </w:rPr>
        <w:t>深入开展制造业数字化转型行动，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打造一批制造业数字化转型标杆企业和示范样板项目。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加快建设一批数字化转型公共服务平台，实施“万名数字专员”服务行动，积极拓展工业互联网典型应用场景，深化“个十百”平台培育工程，高水平建设山东半岛工业互联网示范区。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大力开发绿色产品，广泛建设绿色工厂，持续打造绿色工业园区，鼓励优质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企业企业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构建绿色供应链管理体系，树立资源节约标杆，支持参与实施工业低碳行动和绿色制造工程，在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落实碳达峰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、碳中和目标中发挥示范引领作用。提升工业设计能力，加强工业设计平台建设，做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强做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优山东省工业设计研究院，积极发展服务型制造新模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式新业态。</w:t>
      </w:r>
      <w:r>
        <w:rPr>
          <w:rFonts w:ascii="楷体_GB2312" w:eastAsia="楷体_GB2312" w:hAnsi="楷体_GB2312" w:cs="楷体_GB2312" w:hint="eastAsia"/>
          <w:sz w:val="32"/>
          <w:szCs w:val="32"/>
        </w:rPr>
        <w:t>（省工业和信息化厅、省商务厅、省国资委</w:t>
      </w:r>
      <w:r>
        <w:rPr>
          <w:rFonts w:ascii="楷体_GB2312" w:eastAsia="楷体_GB2312" w:hAnsi="楷体_GB2312" w:cs="楷体_GB2312" w:hint="eastAsia"/>
          <w:sz w:val="32"/>
          <w:szCs w:val="32"/>
        </w:rPr>
        <w:t>按职责分工负责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kern w:val="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（六）打造大中小企业融通发展生态。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建设大中小企业融通发展平台载体，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支持领航企业发挥产业链“链主”作用，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对上下游企业开放资源，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通过行业协会、产业联盟等方式，在技术攻关、产品配套、品牌渠道、资金融通等方面，带动关联度高、协同性强的中小企业进入产业链、供应链、创新链。鼓励中小企业加强与优质企业的协同创新、配套合作，持续畅通产业循环、市场循环，促进形成具有更高效率、更低成本的现代产业体系。</w:t>
      </w:r>
      <w:r>
        <w:rPr>
          <w:rFonts w:ascii="楷体_GB2312" w:eastAsia="楷体_GB2312" w:hAnsi="楷体_GB2312" w:cs="楷体_GB2312" w:hint="eastAsia"/>
          <w:sz w:val="32"/>
          <w:szCs w:val="32"/>
        </w:rPr>
        <w:t>（省工业和信息化厅牵头）</w:t>
      </w:r>
    </w:p>
    <w:p w:rsidR="003675F3" w:rsidRDefault="00B000CA">
      <w:pPr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kern w:val="0"/>
          <w:sz w:val="32"/>
          <w:szCs w:val="32"/>
          <w:lang w:bidi="ar"/>
        </w:rPr>
        <w:t>（七）提升优质企业开放合作水平。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鼓励领航企业、单项冠军企业积极开展跨国并购、全球布局研发设计中心，优化生产网络和供应链体系，有效对接和利用全球资源。以共建“一带一路”为重点，构建区域产业链共同体，更好融入全球产业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链。充分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与日韩地缘相近、产业相融、文化相通等优势，推动先进制造业与现代服务业全方位、宽领域、多层次深化产业合作。支持省内企业主动融入国际产业链、供应链、创新链，鼓励境外企业和科研机构来鲁设立全球研发机构。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（省工业和信息化厅、省商务厅按职责分工负责）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3675F3" w:rsidRDefault="00B000CA">
      <w:pPr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  <w:lang w:bidi="ar"/>
        </w:rPr>
      </w:pPr>
      <w:r>
        <w:rPr>
          <w:rFonts w:ascii="楷体" w:eastAsia="楷体" w:hAnsi="楷体" w:cs="楷体" w:hint="eastAsia"/>
          <w:kern w:val="0"/>
          <w:sz w:val="32"/>
          <w:szCs w:val="32"/>
          <w:lang w:bidi="ar"/>
        </w:rPr>
        <w:lastRenderedPageBreak/>
        <w:t>（一）完善金融财税政策。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统筹国家和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省各项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专项资金，对优质企业给予重点支持。深入实施首台套装备及零部件、首批次新材料、首版次高端软件保险补偿，落实进口设备免税、研究开发费用加计扣除等政策。深入推行企业金融辅导员制度，将更多优质企业纳入金融辅导，并对融资困难的企业开展辅导攻坚，实施销号管理。支持符合条件的优质企业上市融资和使用债券融资工具进行融资。支持银行金融机构加大信贷支持力度，提供优质高效的金融服务，支持投贷联动、投保联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投担联动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、投投联动。充分发挥我省新旧动能转换基金引导作用，吸引更多社会资本支持优质企业加快发展。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（省工业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  <w:lang w:bidi="ar"/>
        </w:rPr>
        <w:t>和信息化厅、省财政厅、人民银行济南分行、省地方金融监督管理局、山东省税务局、山东银保监局、山东证监局按职责分工负责）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（二）加强</w:t>
      </w:r>
      <w:r>
        <w:rPr>
          <w:rFonts w:ascii="楷体" w:eastAsia="楷体" w:hAnsi="楷体" w:cs="楷体" w:hint="eastAsia"/>
          <w:sz w:val="32"/>
          <w:szCs w:val="32"/>
        </w:rPr>
        <w:t>资源要素保障。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健全完善“要素跟着项目走”机制，全面提升要素供给质量，推动土地、能耗、污染物排放、水资源等各类资源要素向优质企业重点项目聚集，为优质企业加快发展创造良好条件。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（省工业和信息化厅牵头，有关部门配合）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</w:rPr>
        <w:t>（三）强化</w:t>
      </w:r>
      <w:r>
        <w:rPr>
          <w:rFonts w:ascii="楷体" w:eastAsia="楷体" w:hAnsi="楷体" w:cs="楷体" w:hint="eastAsia"/>
          <w:sz w:val="32"/>
          <w:szCs w:val="32"/>
          <w:lang w:bidi="ar"/>
        </w:rPr>
        <w:t>高端人才支撑。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支持引进高端人才，落实重点产业链尖端技术人才奖励制度，积极建设先进制造业实训基地。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持续实施企业家素质提升行动和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职业经理人培育行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加强企业经营管理人才培训，落实企业家财政激励政策，对符合条件的优质企业负责人给予表彰奖励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。鼓励企业依托企业技术中心、技术创新中心、工程实验室、工程中心、重点实验室等创新平台，吸引高层次专家团队和高素质技能人才。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（省科技厅、省工业和信息化厅、省财政厅、省国资委按职责分工负责）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</w:rPr>
        <w:t>（四）实施精准对接服务。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进一步强化服务意识，分级构建优质企业培育库，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企业编制《创建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企业行动方案》，所在地方政府“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策”同步编制《支持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企业创建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企业方案》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“企业直通车”制度，及时掌握企业诉求，指导用好惠企政策，协调解决土地、用工、用能等问题。组织行业协会、商会等梳理企业需求，提供信息咨询、产品推广、人才培训、知识产权等专业化服务。加大宣传力度，编制发布企业案例集，推广地方典型经验，开展经验交流，组织“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>
        <w:rPr>
          <w:rFonts w:ascii="仿宋_GB2312" w:eastAsia="仿宋_GB2312" w:hAnsi="仿宋_GB2312" w:cs="仿宋_GB2312" w:hint="eastAsia"/>
          <w:sz w:val="32"/>
          <w:szCs w:val="32"/>
        </w:rPr>
        <w:t>优质企业行”活动，打造“优质企业”名片。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（省工业和信息化厅牵头）</w:t>
      </w:r>
    </w:p>
    <w:p w:rsidR="003675F3" w:rsidRDefault="003675F3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</w:p>
    <w:p w:rsidR="003675F3" w:rsidRDefault="003675F3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</w:p>
    <w:p w:rsidR="003675F3" w:rsidRDefault="003675F3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山东省工业和信息化厅</w:t>
      </w: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山东省科学技术厅</w:t>
      </w: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山东省财政厅</w:t>
      </w: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山东省商务厅</w:t>
      </w: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山东省国有资产监督管理委员会</w:t>
      </w:r>
    </w:p>
    <w:p w:rsidR="003675F3" w:rsidRDefault="00B000CA">
      <w:pPr>
        <w:pStyle w:val="a5"/>
        <w:widowControl/>
        <w:spacing w:beforeAutospacing="0" w:afterAutospacing="0" w:line="640" w:lineRule="exact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中国证券监督管理委员会山东监管局</w:t>
      </w:r>
    </w:p>
    <w:p w:rsidR="003675F3" w:rsidRDefault="00B000CA">
      <w:pPr>
        <w:pStyle w:val="a5"/>
        <w:widowControl/>
        <w:spacing w:beforeAutospacing="0" w:afterAutospacing="0" w:line="640" w:lineRule="exact"/>
        <w:ind w:firstLineChars="200" w:firstLine="640"/>
        <w:jc w:val="right"/>
        <w:rPr>
          <w:rFonts w:ascii="楷体_GB2312" w:eastAsia="楷体_GB2312" w:hAnsi="楷体_GB2312" w:cs="楷体_GB2312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2021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10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22</w:t>
      </w: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日</w:t>
      </w:r>
    </w:p>
    <w:p w:rsidR="00B000CA" w:rsidRDefault="00B000CA" w:rsidP="00B000CA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（此件主动公开）</w:t>
      </w:r>
    </w:p>
    <w:p w:rsidR="00B000CA" w:rsidRDefault="00B000CA">
      <w:pPr>
        <w:pStyle w:val="a5"/>
        <w:widowControl/>
        <w:spacing w:beforeAutospacing="0" w:afterAutospacing="0" w:line="640" w:lineRule="exact"/>
        <w:ind w:firstLineChars="200" w:firstLine="640"/>
        <w:jc w:val="right"/>
        <w:rPr>
          <w:rFonts w:ascii="楷体_GB2312" w:eastAsia="楷体_GB2312" w:hAnsi="楷体_GB2312" w:cs="楷体_GB2312" w:hint="eastAsia"/>
          <w:sz w:val="32"/>
          <w:szCs w:val="32"/>
          <w:lang w:bidi="ar"/>
        </w:rPr>
      </w:pPr>
      <w:bookmarkStart w:id="0" w:name="_GoBack"/>
      <w:bookmarkEnd w:id="0"/>
    </w:p>
    <w:sectPr w:rsidR="00B0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A9C5E"/>
    <w:multiLevelType w:val="singleLevel"/>
    <w:tmpl w:val="F55A9C5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C6652"/>
    <w:rsid w:val="DF77A475"/>
    <w:rsid w:val="003675F3"/>
    <w:rsid w:val="00B000CA"/>
    <w:rsid w:val="05413540"/>
    <w:rsid w:val="06132C8D"/>
    <w:rsid w:val="062C6BC6"/>
    <w:rsid w:val="06C66673"/>
    <w:rsid w:val="09EF5145"/>
    <w:rsid w:val="0D0A468D"/>
    <w:rsid w:val="0DDC6D05"/>
    <w:rsid w:val="0FC00CF6"/>
    <w:rsid w:val="1039148A"/>
    <w:rsid w:val="1C643F07"/>
    <w:rsid w:val="1D9764A2"/>
    <w:rsid w:val="1DD069DC"/>
    <w:rsid w:val="25D21789"/>
    <w:rsid w:val="2D9F2214"/>
    <w:rsid w:val="2DBA7C95"/>
    <w:rsid w:val="2FFF3AE1"/>
    <w:rsid w:val="31930B17"/>
    <w:rsid w:val="3ABF6C0E"/>
    <w:rsid w:val="3BA70290"/>
    <w:rsid w:val="3EAB5CA0"/>
    <w:rsid w:val="4B0E257C"/>
    <w:rsid w:val="55956F3A"/>
    <w:rsid w:val="56926DBA"/>
    <w:rsid w:val="5AFB0B35"/>
    <w:rsid w:val="5F4E5598"/>
    <w:rsid w:val="610C6652"/>
    <w:rsid w:val="646F5318"/>
    <w:rsid w:val="67914B39"/>
    <w:rsid w:val="69245C08"/>
    <w:rsid w:val="6B2175B5"/>
    <w:rsid w:val="6FEFDFC0"/>
    <w:rsid w:val="729A2404"/>
    <w:rsid w:val="7DE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E0F20-25C6-4382-B30A-6B517BE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2" w:lineRule="auto"/>
      <w:outlineLvl w:val="2"/>
    </w:pPr>
    <w:rPr>
      <w:rFonts w:ascii="Times New Roman" w:eastAsia="仿宋_GB2312" w:hAnsi="Times New Roman" w:cs="Times New Roman"/>
      <w:b/>
      <w:bCs/>
      <w:sz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ind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Body Text"/>
    <w:basedOn w:val="a"/>
    <w:next w:val="2"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rFonts w:ascii="Calibri" w:eastAsia="宋体" w:hAnsi="Calibri" w:cs="Times New Roman"/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rFonts w:ascii="Times New Roman" w:eastAsia="仿宋_GB2312" w:hAnsi="Times New Roman" w:cs="Times New Roman"/>
      <w:b/>
      <w:bCs/>
      <w:kern w:val="2"/>
      <w:sz w:val="32"/>
      <w:szCs w:val="24"/>
      <w:lang w:val="en-US" w:eastAsia="zh-CN" w:bidi="ar-SA"/>
    </w:rPr>
  </w:style>
  <w:style w:type="paragraph" w:styleId="a9">
    <w:name w:val="Date"/>
    <w:basedOn w:val="a"/>
    <w:next w:val="a"/>
    <w:link w:val="Char"/>
    <w:rsid w:val="00B000CA"/>
    <w:pPr>
      <w:ind w:leftChars="2500" w:left="100"/>
    </w:pPr>
  </w:style>
  <w:style w:type="character" w:customStyle="1" w:styleId="Char">
    <w:name w:val="日期 Char"/>
    <w:basedOn w:val="a0"/>
    <w:link w:val="a9"/>
    <w:rsid w:val="00B000C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Espresso</dc:creator>
  <cp:lastModifiedBy>yan</cp:lastModifiedBy>
  <cp:revision>2</cp:revision>
  <cp:lastPrinted>2021-10-20T01:26:00Z</cp:lastPrinted>
  <dcterms:created xsi:type="dcterms:W3CDTF">2021-11-10T07:09:00Z</dcterms:created>
  <dcterms:modified xsi:type="dcterms:W3CDTF">2021-11-10T07:09:00Z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493644305EE54EBEBD8BBFE16AE26501</vt:lpwstr>
  </property>
</Properties>
</file>