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山东省中小企业特色产业集群认定管理办法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（征求意见稿）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第一章　总　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　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深入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贯彻党的二十大精神，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认真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落实国家和省关于促进中小企业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高质量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发展战略部署，按照工业和信息化部《促进中小企业特色产业集群发展暂行办法》（工信部企业〔2022〕119号）要求，提升中小企业产业集群专业化、特色化、集群化发展水平，制定本办法。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　本办法所称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山东省中小企业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特色产业集群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以下简称集群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是指定位在县级区划范围内，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以新发展理念为引领，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以中小企业为主体，以特色产业为支柱，集聚具有产业关联的中小企业以及相关服务、管理和科研等支撑机构，在特定空间范围内共享包括专业人才、市场、技术和信息等诸多产业要素，使产业和企业通过健全供应链产生促进效应，形成区域优势和持续竞争力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中小企业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产业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集群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第三条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　省工业和信息化厅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负责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对集群进行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指导协调和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认定管理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各市中小企业主管部门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负责本地区集群培育工作，协助省工业和信息化厅对本地区集群开展申报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认定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监督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监测和其它日常工作。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第二章　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认定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省级中小企业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特色产业集群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认定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需同时满足以下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基本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具有较强核心竞争力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集群主导产业为所在县域的支柱或特色产业，符合国家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产业政策和行业发展规划要求，发展水平位居细分领域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全省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前列，有较高的集群品牌知名度；占地面积一般不超过100平方公里，近三年产值均在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0亿元以上，中小企业产值占集群总产值70%以上，主导产业占集群总产值比例高于70%，产值年均增速高于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优质中小企业梯度培育成效显著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集群持续开展优质中小企业梯度培育工作，拥有不少于1家主导产业的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制造业单项冠军企业或专精特新“小巨人”企业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，或者不少于10家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专精特新中小企业、创新型中小企业和国家级高新技术企业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产业链供应链协作高效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集群产业链布局合理，产业链上下游企业产供销一体化协同协作机制较完善，建立了通用生产设备、物流、仓储、人力、设计等共享机制，产业链关键环节配套能力较强。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具有较强协同创新能力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集群重视研发持续投入，近三年中小企业研发经费年均增长高于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；统筹建立了多元创新平台，与大型企业、高校和科研院所创新合作紧密，大中小企业融通创新和产学研协同创新机制完善；积极参加主导产业的标准制修订工作；突破了一批主导产业的关键核心技术，有效发明专利年均增长率不低于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%，每万人有效发明专利拥有量不低于1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数字化转型效果明显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集群新型信息基础设施建设水平较高，数字化装备和系统应用广泛，引入跨企业数字化解决方案、评估和诊断等服务；“用云上平台”成效显著，工业互联网平台应用普及率不低于1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%，工业软件应用率稳步提升，实现集群企业重要生产数据联通；开展主导产业数字化新模式新业态探索，建立健全工业互联网安全保障体系。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具有较高绿色化发展水平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集群能源消费结构合理，二氧化碳排放量强度持续下降，资源利用效率较高，污染物排放治理有效，建立了绿色低碳服务机制；属于高耗能行业的集群，能效水平高于行业基准值；属于高用水行业的集群，水效水平高于行业基准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积极参与产业开放合作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集群参与主导产业国际合作机制或交流活动，开展技术、管理、人才或资本等方面交流合作，通过设置海外分支机构等方式，推动产品和服务对外贸易快速发展。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具有较强治理和服务能力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集群设立管委会等运营管理机构，建立了完善的中小企业公共服务体系和专业化的集群发展促进机制；促进中小企业发展政策宣贯实现集群全覆盖，确保惠企政策受益主体不漏户、不漏人地清晰了解和应享尽享；制定未来三年发展规划，发展目标清晰、可考核，工作措施完整、针对性强、切实可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集群企业近三年未发生较大及以上安全、质量和环境污染等事故，重大及以上网络安全事件和数据安全事件，以及偷税漏税、违法违规、严重失信和其它重大问题的行为。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第三章　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认定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56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第五条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　省工业和信息化厅每年组织开展一次省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级中小企业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特色产业集群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认定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工作，坚持申报自愿、公开透明、持续提升、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动态调整的原则。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56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申报认定的集群应在县级区划范围内，由所在地县（市、区）中小企业主管部门作为申报主体。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56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第七条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各市中小企业主管部门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集群申报进行受理，对申报材料进行合规性审核并进行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初审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和实地考察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在符合认定条件的基础上，择优推荐至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省工业和信息化厅。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56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第八条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　省工业和信息化厅对各市推荐的集群申报材料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进行复审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，视情采用现场考察的形式进行核实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择优形成集群名单，经公示无异议的，确定为“山东省中小企业特色产业集群”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，按程序予以正式公布。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第四章　集群管理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各市中小企业主管部门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要加强组织协调，系统推进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中小企业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特色产业集群培育工作，及时了解掌握集群建设和运营情况，出台扶持政策，加大支持力度，营造良好的发展环境，推动中小企业集聚集约高质量健康发展。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第十条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中小企业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特色产业集群要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注重提升主导产业优势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，强化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协同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创新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能力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推动数字化升级，加快绿色低碳转型，不断深化开放合作，提升治理和服务能力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。每年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月底前形成上一年度工作总结，并自觉接受社会监督。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第十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　实施年度报告制度，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各市中小企业主管部门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负责对辖区内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中小企业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特色产业集群发展情况进行指导检查，并于每年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月底前，将本市上一年度特色产业集群发展情况报省工业和信息化厅。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第十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省级中小企业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特色产业集群实行动态管理，有效期为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年。有效期满当年，须按照申报条件和程序申请复核。有效期满未申请复核或经复核未达标的，取消其称号。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第十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　已认定的省级中小企业特色产业集群如发生以下情形之一的，撤销其认定：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（一）有效期满未申请复核或经复核未通过的；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（二）发现虚假申报或存在违法违规行为的；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）不按要求报送工作总结和建设情况或不接受、不配合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监督监测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工作的；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集群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发生主导产业、空间范围、运营管理机构变更等重大变动未及时更新报备的；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（五）入驻企业满意度低、反映问题较多等其他应予以撤销的情形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（六）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集群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企业发生较大及以上安全、质量和环境污染等事故，重大及以上网络安全事件和数据安全事件，以及偷税漏税、违法违规、严重失信和其它重大问题的行为。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第五章　附　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第十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　本办法由山东省工业和信息化厅负责解释。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第十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　本办法有效期自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 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日起，至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日止。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wNjczNjdmZDc3MGE2ZmU1MWZhOTc5OGFhMmNiYTMifQ=="/>
  </w:docVars>
  <w:rsids>
    <w:rsidRoot w:val="00000000"/>
    <w:rsid w:val="01CA3AA9"/>
    <w:rsid w:val="05D47115"/>
    <w:rsid w:val="06F134AE"/>
    <w:rsid w:val="09195451"/>
    <w:rsid w:val="0FC1070A"/>
    <w:rsid w:val="115B348D"/>
    <w:rsid w:val="12FB03D7"/>
    <w:rsid w:val="19584573"/>
    <w:rsid w:val="19A20A39"/>
    <w:rsid w:val="1A1A3838"/>
    <w:rsid w:val="1BA24AAA"/>
    <w:rsid w:val="1CC950A2"/>
    <w:rsid w:val="24E533EB"/>
    <w:rsid w:val="26725B01"/>
    <w:rsid w:val="26A23BE2"/>
    <w:rsid w:val="26CC5EBA"/>
    <w:rsid w:val="2749157D"/>
    <w:rsid w:val="28F17C70"/>
    <w:rsid w:val="290D0199"/>
    <w:rsid w:val="2A5D5BAE"/>
    <w:rsid w:val="2B26276D"/>
    <w:rsid w:val="2DC36467"/>
    <w:rsid w:val="2DFA4622"/>
    <w:rsid w:val="2F14309E"/>
    <w:rsid w:val="2F7028D0"/>
    <w:rsid w:val="33154745"/>
    <w:rsid w:val="34202881"/>
    <w:rsid w:val="34CE42BE"/>
    <w:rsid w:val="38BA0113"/>
    <w:rsid w:val="3ABD769B"/>
    <w:rsid w:val="3B271EF7"/>
    <w:rsid w:val="40CB0981"/>
    <w:rsid w:val="41943621"/>
    <w:rsid w:val="42444879"/>
    <w:rsid w:val="435B6B59"/>
    <w:rsid w:val="444255B6"/>
    <w:rsid w:val="4A5676C5"/>
    <w:rsid w:val="4B63653E"/>
    <w:rsid w:val="4DA51221"/>
    <w:rsid w:val="4F3874EB"/>
    <w:rsid w:val="51673D99"/>
    <w:rsid w:val="5275790A"/>
    <w:rsid w:val="53F95715"/>
    <w:rsid w:val="543E18F6"/>
    <w:rsid w:val="55384597"/>
    <w:rsid w:val="55446933"/>
    <w:rsid w:val="57BC25B5"/>
    <w:rsid w:val="57F3452C"/>
    <w:rsid w:val="58424D3D"/>
    <w:rsid w:val="5B15555B"/>
    <w:rsid w:val="5EBD78BB"/>
    <w:rsid w:val="63263E7E"/>
    <w:rsid w:val="63901EC1"/>
    <w:rsid w:val="65C45275"/>
    <w:rsid w:val="6758596E"/>
    <w:rsid w:val="6A4D0B45"/>
    <w:rsid w:val="6A6267B7"/>
    <w:rsid w:val="6C9E1CD6"/>
    <w:rsid w:val="6D396CA7"/>
    <w:rsid w:val="6D3F3B91"/>
    <w:rsid w:val="6E741287"/>
    <w:rsid w:val="6FD87FED"/>
    <w:rsid w:val="6FEC6252"/>
    <w:rsid w:val="70F051AD"/>
    <w:rsid w:val="7193732C"/>
    <w:rsid w:val="75882579"/>
    <w:rsid w:val="76242D4E"/>
    <w:rsid w:val="76AE5B07"/>
    <w:rsid w:val="79BA6BDB"/>
    <w:rsid w:val="79CF0469"/>
    <w:rsid w:val="7B66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2484</Words>
  <Characters>2506</Characters>
  <Lines>0</Lines>
  <Paragraphs>0</Paragraphs>
  <TotalTime>6</TotalTime>
  <ScaleCrop>false</ScaleCrop>
  <LinksUpToDate>false</LinksUpToDate>
  <CharactersWithSpaces>2535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2022-08-08T00:29:00Z</dcterms:created>
  <dc:creator>mingh</dc:creator>
  <cp:lastModifiedBy>王明辉</cp:lastModifiedBy>
  <dcterms:modified xsi:type="dcterms:W3CDTF">2023-04-24T08:04:48Z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4641F7F75AD84CDD95FB7976FE991926</vt:lpwstr>
  </property>
</Properties>
</file>