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22" w:rsidRDefault="002D0722">
      <w:pPr>
        <w:spacing w:line="520" w:lineRule="exact"/>
        <w:jc w:val="center"/>
        <w:rPr>
          <w:rFonts w:ascii="方正小标宋简体" w:eastAsia="方正小标宋简体"/>
          <w:color w:val="FF0000"/>
          <w:sz w:val="72"/>
          <w:szCs w:val="72"/>
        </w:rPr>
      </w:pPr>
    </w:p>
    <w:p w:rsidR="002D0722" w:rsidRDefault="002D0722">
      <w:pPr>
        <w:spacing w:line="520" w:lineRule="exact"/>
        <w:jc w:val="center"/>
        <w:rPr>
          <w:rFonts w:ascii="方正小标宋简体" w:eastAsia="方正小标宋简体"/>
          <w:color w:val="FF0000"/>
          <w:sz w:val="72"/>
          <w:szCs w:val="72"/>
        </w:rPr>
      </w:pPr>
    </w:p>
    <w:p w:rsidR="002D0722" w:rsidRDefault="002D0722">
      <w:pPr>
        <w:spacing w:line="520" w:lineRule="exact"/>
        <w:jc w:val="center"/>
        <w:rPr>
          <w:rFonts w:ascii="方正小标宋简体" w:eastAsia="方正小标宋简体"/>
          <w:color w:val="FF0000"/>
          <w:sz w:val="72"/>
          <w:szCs w:val="72"/>
        </w:rPr>
      </w:pPr>
    </w:p>
    <w:p w:rsidR="002D0722" w:rsidRDefault="00992F66">
      <w:pPr>
        <w:spacing w:line="520" w:lineRule="exact"/>
        <w:jc w:val="center"/>
        <w:rPr>
          <w:rFonts w:ascii="方正小标宋简体" w:eastAsia="方正小标宋简体"/>
          <w:color w:val="FF0000"/>
          <w:sz w:val="72"/>
          <w:szCs w:val="72"/>
        </w:rPr>
      </w:pPr>
      <w:r>
        <w:rPr>
          <w:rFonts w:ascii="方正小标宋简体" w:eastAsia="方正小标宋简体" w:hAnsiTheme="majorEastAsia" w:hint="eastAsia"/>
          <w:noProof/>
          <w:color w:val="FF0000"/>
          <w:sz w:val="72"/>
          <w:szCs w:val="72"/>
        </w:rPr>
        <mc:AlternateContent>
          <mc:Choice Requires="wps">
            <w:drawing>
              <wp:anchor distT="0" distB="0" distL="114300" distR="114300" simplePos="0" relativeHeight="251661312" behindDoc="0" locked="0" layoutInCell="1" allowOverlap="1" wp14:anchorId="4DB57F20" wp14:editId="46DABD13">
                <wp:simplePos x="0" y="0"/>
                <wp:positionH relativeFrom="column">
                  <wp:posOffset>4453890</wp:posOffset>
                </wp:positionH>
                <wp:positionV relativeFrom="paragraph">
                  <wp:posOffset>312420</wp:posOffset>
                </wp:positionV>
                <wp:extent cx="1185545" cy="102298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023042"/>
                        </a:xfrm>
                        <a:prstGeom prst="rect">
                          <a:avLst/>
                        </a:prstGeom>
                        <a:noFill/>
                        <a:ln w="9525">
                          <a:noFill/>
                          <a:miter lim="800000"/>
                        </a:ln>
                      </wps:spPr>
                      <wps:txbx>
                        <w:txbxContent>
                          <w:p w:rsidR="002D0722" w:rsidRDefault="00992F66">
                            <w:pPr>
                              <w:rPr>
                                <w:color w:val="FF0000"/>
                              </w:rPr>
                            </w:pPr>
                            <w:r>
                              <w:rPr>
                                <w:rFonts w:ascii="方正小标宋简体" w:eastAsia="方正小标宋简体" w:hAnsiTheme="majorEastAsia" w:hint="eastAsia"/>
                                <w:color w:val="FF0000"/>
                                <w:sz w:val="72"/>
                                <w:szCs w:val="72"/>
                              </w:rPr>
                              <w:t>文件</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50.7pt;margin-top:24.6pt;height:80.55pt;width:93.35pt;z-index:251661312;mso-width-relative:page;mso-height-relative:page;" filled="f" stroked="f" coordsize="21600,21600" o:gfxdata="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nnmdcAAAAKAQAADwAAAAAAAAABACAAAAAiAAAA&#10;ZHJzL2Rvd25yZXYueG1sUEsBAhQAFAAAAAgAh07iQPe01WQIAgAA3AMAAA4AAAAAAAAAAQAgAAAA&#10;JgEAAGRycy9lMm9Eb2MueG1sUEsFBgAAAAAGAAYAWQEAAKAFAAAAAA==&#10;">
                <v:fill on="f" focussize="0,0"/>
                <v:stroke on="f" miterlimit="8" joinstyle="miter"/>
                <v:imagedata o:title=""/>
                <o:lock v:ext="edit" aspectratio="f"/>
                <v:textbox>
                  <w:txbxContent>
                    <w:p>
                      <w:pPr>
                        <w:rPr>
                          <w:color w:val="FF0000"/>
                        </w:rPr>
                      </w:pPr>
                      <w:r>
                        <w:rPr>
                          <w:rFonts w:hint="eastAsia" w:ascii="方正小标宋简体" w:eastAsia="方正小标宋简体" w:hAnsiTheme="majorEastAsia"/>
                          <w:color w:val="FF0000"/>
                          <w:sz w:val="72"/>
                          <w:szCs w:val="72"/>
                        </w:rPr>
                        <w:t>文件</w:t>
                      </w:r>
                    </w:p>
                  </w:txbxContent>
                </v:textbox>
              </v:shape>
            </w:pict>
          </mc:Fallback>
        </mc:AlternateContent>
      </w:r>
      <w:r>
        <w:rPr>
          <w:rFonts w:ascii="方正小标宋简体" w:eastAsia="方正小标宋简体" w:hAnsiTheme="majorEastAsia" w:hint="eastAsia"/>
          <w:noProof/>
          <w:color w:val="FF0000"/>
          <w:sz w:val="72"/>
          <w:szCs w:val="72"/>
        </w:rPr>
        <mc:AlternateContent>
          <mc:Choice Requires="wps">
            <w:drawing>
              <wp:anchor distT="0" distB="0" distL="114300" distR="114300" simplePos="0" relativeHeight="251659264" behindDoc="0" locked="0" layoutInCell="1" allowOverlap="1" wp14:anchorId="5094628F" wp14:editId="6795EDED">
                <wp:simplePos x="0" y="0"/>
                <wp:positionH relativeFrom="column">
                  <wp:posOffset>-244475</wp:posOffset>
                </wp:positionH>
                <wp:positionV relativeFrom="paragraph">
                  <wp:posOffset>85725</wp:posOffset>
                </wp:positionV>
                <wp:extent cx="4780280"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230" cy="1403985"/>
                        </a:xfrm>
                        <a:prstGeom prst="rect">
                          <a:avLst/>
                        </a:prstGeom>
                        <a:noFill/>
                        <a:ln w="9525">
                          <a:noFill/>
                          <a:miter lim="800000"/>
                        </a:ln>
                      </wps:spPr>
                      <wps:txbx>
                        <w:txbxContent>
                          <w:p w:rsidR="002D0722" w:rsidRDefault="00992F66">
                            <w:pPr>
                              <w:rPr>
                                <w:rFonts w:ascii="方正小标宋简体" w:eastAsia="方正小标宋简体" w:hAnsiTheme="majorEastAsia"/>
                                <w:color w:val="FF0000"/>
                                <w:sz w:val="72"/>
                                <w:szCs w:val="72"/>
                              </w:rPr>
                            </w:pPr>
                            <w:r>
                              <w:rPr>
                                <w:rFonts w:ascii="方正小标宋简体" w:eastAsia="方正小标宋简体" w:hAnsiTheme="majorEastAsia" w:hint="eastAsia"/>
                                <w:color w:val="FF0000"/>
                                <w:sz w:val="72"/>
                                <w:szCs w:val="72"/>
                              </w:rPr>
                              <w:t>山东省工业和信息化厅</w:t>
                            </w:r>
                          </w:p>
                          <w:p w:rsidR="002D0722" w:rsidRDefault="00992F66">
                            <w:pPr>
                              <w:jc w:val="distribute"/>
                              <w:rPr>
                                <w:color w:val="FF0000"/>
                              </w:rPr>
                            </w:pPr>
                            <w:r>
                              <w:rPr>
                                <w:rFonts w:ascii="方正小标宋简体" w:eastAsia="方正小标宋简体" w:hAnsiTheme="majorEastAsia" w:hint="eastAsia"/>
                                <w:color w:val="FF0000"/>
                                <w:sz w:val="72"/>
                                <w:szCs w:val="72"/>
                              </w:rPr>
                              <w:t>山东省财政厅</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文本框 2" o:spid="_x0000_s1026" o:spt="202" type="#_x0000_t202" style="position:absolute;left:0pt;margin-left:-19.25pt;margin-top:6.75pt;height:110.55pt;width:376.4pt;z-index:251659264;mso-width-relative:page;mso-height-relative:margin;mso-height-percent:200;" filled="f" stroked="f" coordsize="21600,21600" o:gfxdata="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q1Q32QAAAAoBAAAPAAAAAAAAAAEAIAAA&#10;ACIAAABkcnMvZG93bnJldi54bWxQSwECFAAUAAAACACHTuJAfGmgowsCAADeAwAADgAAAAAAAAAB&#10;ACAAAAAoAQAAZHJzL2Uyb0RvYy54bWxQSwUGAAAAAAYABgBZAQAApQUAAAAA&#10;">
                <v:fill on="f" focussize="0,0"/>
                <v:stroke on="f" miterlimit="8" joinstyle="miter"/>
                <v:imagedata o:title=""/>
                <o:lock v:ext="edit" aspectratio="f"/>
                <v:textbox style="mso-fit-shape-to-text:t;">
                  <w:txbxContent>
                    <w:p>
                      <w:pPr>
                        <w:rPr>
                          <w:rFonts w:ascii="方正小标宋简体" w:eastAsia="方正小标宋简体" w:hAnsiTheme="majorEastAsia"/>
                          <w:color w:val="FF0000"/>
                          <w:sz w:val="72"/>
                          <w:szCs w:val="72"/>
                        </w:rPr>
                      </w:pPr>
                      <w:r>
                        <w:rPr>
                          <w:rFonts w:hint="eastAsia" w:ascii="方正小标宋简体" w:eastAsia="方正小标宋简体" w:hAnsiTheme="majorEastAsia"/>
                          <w:color w:val="FF0000"/>
                          <w:sz w:val="72"/>
                          <w:szCs w:val="72"/>
                        </w:rPr>
                        <w:t>山东省工业和信息化厅</w:t>
                      </w:r>
                    </w:p>
                    <w:p>
                      <w:pPr>
                        <w:jc w:val="distribute"/>
                        <w:rPr>
                          <w:color w:val="FF0000"/>
                        </w:rPr>
                      </w:pPr>
                      <w:r>
                        <w:rPr>
                          <w:rFonts w:hint="eastAsia" w:ascii="方正小标宋简体" w:eastAsia="方正小标宋简体" w:hAnsiTheme="majorEastAsia"/>
                          <w:color w:val="FF0000"/>
                          <w:sz w:val="72"/>
                          <w:szCs w:val="72"/>
                        </w:rPr>
                        <w:t>山东省财政厅</w:t>
                      </w:r>
                    </w:p>
                  </w:txbxContent>
                </v:textbox>
              </v:shape>
            </w:pict>
          </mc:Fallback>
        </mc:AlternateContent>
      </w:r>
    </w:p>
    <w:p w:rsidR="002D0722" w:rsidRDefault="002D0722">
      <w:pPr>
        <w:spacing w:line="520" w:lineRule="exact"/>
        <w:jc w:val="center"/>
        <w:rPr>
          <w:rFonts w:ascii="方正小标宋简体" w:eastAsia="方正小标宋简体" w:hAnsiTheme="majorEastAsia"/>
          <w:color w:val="FF0000"/>
          <w:sz w:val="72"/>
          <w:szCs w:val="72"/>
        </w:rPr>
      </w:pPr>
    </w:p>
    <w:p w:rsidR="002D0722" w:rsidRDefault="002D0722">
      <w:pPr>
        <w:spacing w:line="520" w:lineRule="exact"/>
        <w:jc w:val="center"/>
        <w:rPr>
          <w:rFonts w:ascii="方正小标宋简体" w:eastAsia="方正小标宋简体" w:hAnsiTheme="majorEastAsia"/>
          <w:color w:val="FF0000"/>
          <w:sz w:val="72"/>
          <w:szCs w:val="72"/>
        </w:rPr>
      </w:pPr>
    </w:p>
    <w:tbl>
      <w:tblPr>
        <w:tblStyle w:val="a7"/>
        <w:tblW w:w="90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1843"/>
      </w:tblGrid>
      <w:tr w:rsidR="002D0722">
        <w:tc>
          <w:tcPr>
            <w:tcW w:w="7230" w:type="dxa"/>
          </w:tcPr>
          <w:p w:rsidR="002D0722" w:rsidRDefault="002D0722">
            <w:pPr>
              <w:spacing w:line="520" w:lineRule="exact"/>
              <w:jc w:val="distribute"/>
              <w:rPr>
                <w:rFonts w:ascii="方正小标宋简体" w:eastAsia="方正小标宋简体" w:hAnsiTheme="majorEastAsia"/>
                <w:color w:val="FF0000"/>
                <w:sz w:val="72"/>
                <w:szCs w:val="72"/>
                <w:u w:val="single"/>
              </w:rPr>
            </w:pPr>
          </w:p>
        </w:tc>
        <w:tc>
          <w:tcPr>
            <w:tcW w:w="1843" w:type="dxa"/>
            <w:vMerge w:val="restart"/>
            <w:vAlign w:val="center"/>
          </w:tcPr>
          <w:p w:rsidR="002D0722" w:rsidRDefault="002D0722">
            <w:pPr>
              <w:spacing w:line="520" w:lineRule="exact"/>
              <w:rPr>
                <w:rFonts w:ascii="方正小标宋简体" w:eastAsia="方正小标宋简体" w:hAnsiTheme="majorEastAsia"/>
                <w:color w:val="FF0000"/>
                <w:sz w:val="72"/>
                <w:szCs w:val="72"/>
                <w:u w:val="single"/>
              </w:rPr>
            </w:pPr>
          </w:p>
        </w:tc>
      </w:tr>
      <w:tr w:rsidR="002D0722">
        <w:tc>
          <w:tcPr>
            <w:tcW w:w="7230" w:type="dxa"/>
          </w:tcPr>
          <w:p w:rsidR="002D0722" w:rsidRDefault="002D0722">
            <w:pPr>
              <w:spacing w:line="560" w:lineRule="exact"/>
              <w:jc w:val="distribute"/>
              <w:rPr>
                <w:rFonts w:ascii="方正小标宋简体" w:eastAsia="方正小标宋简体" w:hAnsiTheme="majorEastAsia"/>
                <w:sz w:val="72"/>
                <w:szCs w:val="72"/>
                <w:u w:val="single"/>
              </w:rPr>
            </w:pPr>
          </w:p>
        </w:tc>
        <w:tc>
          <w:tcPr>
            <w:tcW w:w="1843" w:type="dxa"/>
            <w:vMerge/>
          </w:tcPr>
          <w:p w:rsidR="002D0722" w:rsidRDefault="002D0722">
            <w:pPr>
              <w:spacing w:line="560" w:lineRule="exact"/>
              <w:jc w:val="center"/>
              <w:rPr>
                <w:rFonts w:ascii="方正小标宋简体" w:eastAsia="方正小标宋简体" w:hAnsiTheme="majorEastAsia"/>
                <w:sz w:val="72"/>
                <w:szCs w:val="72"/>
              </w:rPr>
            </w:pPr>
          </w:p>
        </w:tc>
      </w:tr>
    </w:tbl>
    <w:p w:rsidR="002D0722" w:rsidRDefault="002D0722">
      <w:pPr>
        <w:spacing w:line="640" w:lineRule="exact"/>
        <w:jc w:val="center"/>
        <w:rPr>
          <w:rFonts w:asciiTheme="majorEastAsia" w:eastAsiaTheme="majorEastAsia" w:hAnsiTheme="majorEastAsia"/>
          <w:sz w:val="40"/>
          <w:szCs w:val="44"/>
        </w:rPr>
      </w:pPr>
    </w:p>
    <w:p w:rsidR="002D0722" w:rsidRDefault="00992F66">
      <w:pPr>
        <w:spacing w:line="620" w:lineRule="exact"/>
        <w:jc w:val="center"/>
        <w:rPr>
          <w:rFonts w:eastAsia="华文中宋"/>
          <w:sz w:val="44"/>
          <w:szCs w:val="44"/>
        </w:rPr>
      </w:pPr>
      <w:r>
        <w:rPr>
          <w:rFonts w:asciiTheme="majorEastAsia" w:eastAsiaTheme="majorEastAsia" w:hAnsiTheme="majorEastAsia"/>
          <w:noProof/>
          <w:sz w:val="40"/>
          <w:szCs w:val="44"/>
        </w:rPr>
        <mc:AlternateContent>
          <mc:Choice Requires="wps">
            <w:drawing>
              <wp:anchor distT="0" distB="0" distL="114300" distR="114300" simplePos="0" relativeHeight="251662336" behindDoc="0" locked="0" layoutInCell="1" allowOverlap="1" wp14:anchorId="7DD57F1A" wp14:editId="0279F8C4">
                <wp:simplePos x="0" y="0"/>
                <wp:positionH relativeFrom="column">
                  <wp:posOffset>-152400</wp:posOffset>
                </wp:positionH>
                <wp:positionV relativeFrom="paragraph">
                  <wp:posOffset>196850</wp:posOffset>
                </wp:positionV>
                <wp:extent cx="53409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40985" cy="0"/>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pt;margin-top:15.5pt;height:0pt;width:420.55pt;z-index:251662336;mso-width-relative:page;mso-height-relative:page;" filled="f" stroked="t" coordsize="21600,21600" o:gfxdata="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U2rtfWAAAACQEAAA8AAAAAAAAAAQAgAAAAIgAAAGRycy9k&#10;b3ducmV2LnhtbFBLAQIUABQAAAAIAIdO4kC2rAJ7ywEAAGQDAAAOAAAAAAAAAAEAIAAAACUBAABk&#10;cnMvZTJvRG9jLnhtbFBLBQYAAAAABgAGAFkBAABiBQAAAAA=&#10;">
                <v:fill on="f" focussize="0,0"/>
                <v:stroke weight="1.5pt" color="#FF0000 [3205]" miterlimit="8" joinstyle="miter"/>
                <v:imagedata o:title=""/>
                <o:lock v:ext="edit" aspectratio="f"/>
              </v:line>
            </w:pict>
          </mc:Fallback>
        </mc:AlternateContent>
      </w:r>
    </w:p>
    <w:p w:rsidR="002D0722" w:rsidRDefault="002D0722">
      <w:pPr>
        <w:spacing w:line="620" w:lineRule="exact"/>
        <w:jc w:val="center"/>
        <w:rPr>
          <w:rFonts w:eastAsia="华文中宋"/>
          <w:sz w:val="44"/>
          <w:szCs w:val="44"/>
        </w:rPr>
      </w:pPr>
    </w:p>
    <w:p w:rsidR="002D0722" w:rsidRDefault="002D0722">
      <w:pPr>
        <w:spacing w:line="560" w:lineRule="exact"/>
        <w:jc w:val="center"/>
        <w:rPr>
          <w:rFonts w:eastAsia="华文中宋"/>
          <w:sz w:val="44"/>
          <w:szCs w:val="44"/>
        </w:rPr>
      </w:pPr>
    </w:p>
    <w:p w:rsidR="002D0722" w:rsidRDefault="00992F66">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关于印发《山东省省级食盐储备管理办法》的通知</w:t>
      </w:r>
    </w:p>
    <w:p w:rsidR="002D0722" w:rsidRDefault="002D0722">
      <w:pPr>
        <w:spacing w:line="560" w:lineRule="exact"/>
        <w:jc w:val="center"/>
        <w:rPr>
          <w:rFonts w:ascii="方正小标宋简体" w:eastAsia="方正小标宋简体"/>
          <w:sz w:val="44"/>
          <w:szCs w:val="44"/>
        </w:rPr>
      </w:pPr>
    </w:p>
    <w:p w:rsidR="002D0722" w:rsidRDefault="00992F66">
      <w:pPr>
        <w:spacing w:line="560" w:lineRule="exact"/>
        <w:rPr>
          <w:rFonts w:ascii="仿宋" w:eastAsia="仿宋" w:hAnsi="仿宋" w:cs="仿宋"/>
          <w:sz w:val="32"/>
          <w:szCs w:val="32"/>
        </w:rPr>
      </w:pPr>
      <w:r>
        <w:rPr>
          <w:rFonts w:ascii="仿宋" w:eastAsia="仿宋" w:hAnsi="仿宋" w:cs="仿宋" w:hint="eastAsia"/>
          <w:sz w:val="32"/>
          <w:szCs w:val="32"/>
        </w:rPr>
        <w:t>各市工业和信息化局、财政局：</w:t>
      </w:r>
    </w:p>
    <w:p w:rsidR="002D0722" w:rsidRDefault="00992F66">
      <w:pPr>
        <w:spacing w:line="560" w:lineRule="exact"/>
        <w:ind w:firstLine="645"/>
        <w:rPr>
          <w:rFonts w:ascii="仿宋" w:eastAsia="仿宋" w:hAnsi="仿宋" w:cs="仿宋"/>
          <w:sz w:val="32"/>
        </w:rPr>
      </w:pPr>
      <w:r>
        <w:rPr>
          <w:rFonts w:ascii="仿宋" w:eastAsia="仿宋" w:hAnsi="仿宋" w:cs="仿宋" w:hint="eastAsia"/>
          <w:sz w:val="32"/>
        </w:rPr>
        <w:t>现将《山东省省级食盐储备管理办法》印发给你们，请参照执行。</w:t>
      </w:r>
    </w:p>
    <w:p w:rsidR="002D0722" w:rsidRDefault="002D0722">
      <w:pPr>
        <w:spacing w:line="560" w:lineRule="exact"/>
        <w:ind w:leftChars="1600" w:left="3360" w:firstLineChars="450" w:firstLine="1440"/>
        <w:rPr>
          <w:rFonts w:ascii="仿宋" w:eastAsia="仿宋" w:hAnsi="仿宋" w:cs="仿宋"/>
          <w:sz w:val="32"/>
          <w:szCs w:val="32"/>
        </w:rPr>
      </w:pPr>
    </w:p>
    <w:p w:rsidR="002D0722" w:rsidRDefault="002D0722">
      <w:pPr>
        <w:spacing w:line="560" w:lineRule="exact"/>
        <w:ind w:leftChars="1600" w:left="3360" w:firstLineChars="450" w:firstLine="1440"/>
        <w:rPr>
          <w:rFonts w:ascii="仿宋" w:eastAsia="仿宋" w:hAnsi="仿宋" w:cs="仿宋"/>
          <w:sz w:val="32"/>
          <w:szCs w:val="32"/>
        </w:rPr>
      </w:pPr>
    </w:p>
    <w:p w:rsidR="002D0722" w:rsidRDefault="00992F66">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山东省工业和信息化厅          山东省财政厅</w:t>
      </w:r>
    </w:p>
    <w:p w:rsidR="002D0722" w:rsidRDefault="002D0722">
      <w:pPr>
        <w:spacing w:line="560" w:lineRule="exact"/>
        <w:rPr>
          <w:rFonts w:ascii="仿宋" w:eastAsia="仿宋" w:hAnsi="仿宋" w:cs="仿宋"/>
          <w:sz w:val="32"/>
          <w:szCs w:val="32"/>
        </w:rPr>
      </w:pPr>
    </w:p>
    <w:p w:rsidR="002D0722" w:rsidRDefault="00992F66">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2020年7月3日</w:t>
      </w:r>
    </w:p>
    <w:p w:rsidR="002D0722" w:rsidRDefault="002D0722">
      <w:pPr>
        <w:jc w:val="center"/>
        <w:rPr>
          <w:rFonts w:ascii="仿宋" w:eastAsia="仿宋" w:hAnsi="仿宋" w:cs="仿宋"/>
          <w:b/>
          <w:bCs/>
          <w:sz w:val="44"/>
          <w:szCs w:val="44"/>
        </w:rPr>
      </w:pPr>
    </w:p>
    <w:p w:rsidR="002D0722" w:rsidRDefault="002D0722">
      <w:pPr>
        <w:jc w:val="center"/>
        <w:rPr>
          <w:rFonts w:asciiTheme="majorEastAsia" w:eastAsiaTheme="majorEastAsia" w:hAnsiTheme="majorEastAsia" w:cstheme="majorEastAsia"/>
          <w:b/>
          <w:bCs/>
          <w:sz w:val="44"/>
          <w:szCs w:val="44"/>
        </w:rPr>
      </w:pPr>
    </w:p>
    <w:p w:rsidR="002D0722" w:rsidRDefault="00992F66">
      <w:pPr>
        <w:jc w:val="center"/>
        <w:rPr>
          <w:rFonts w:ascii="方正小标宋简体" w:eastAsia="方正小标宋简体" w:hAnsiTheme="majorEastAsia" w:cstheme="majorEastAsia"/>
          <w:b/>
          <w:bCs/>
          <w:sz w:val="44"/>
          <w:szCs w:val="44"/>
        </w:rPr>
      </w:pPr>
      <w:r>
        <w:rPr>
          <w:rFonts w:ascii="方正小标宋简体" w:eastAsia="方正小标宋简体" w:hAnsiTheme="majorEastAsia" w:cstheme="majorEastAsia" w:hint="eastAsia"/>
          <w:b/>
          <w:bCs/>
          <w:sz w:val="44"/>
          <w:szCs w:val="44"/>
        </w:rPr>
        <w:lastRenderedPageBreak/>
        <w:t>山东省省级食盐储备管理办法</w:t>
      </w:r>
    </w:p>
    <w:p w:rsidR="002D0722" w:rsidRDefault="00992F66">
      <w:pPr>
        <w:numPr>
          <w:ilvl w:val="0"/>
          <w:numId w:val="1"/>
        </w:numPr>
        <w:jc w:val="center"/>
        <w:rPr>
          <w:rFonts w:ascii="黑体" w:eastAsia="黑体" w:hAnsi="黑体" w:cs="黑体"/>
          <w:sz w:val="32"/>
          <w:szCs w:val="32"/>
        </w:rPr>
      </w:pPr>
      <w:r>
        <w:rPr>
          <w:rFonts w:ascii="黑体" w:eastAsia="黑体" w:hAnsi="黑体" w:cs="黑体" w:hint="eastAsia"/>
          <w:sz w:val="32"/>
          <w:szCs w:val="32"/>
        </w:rPr>
        <w:t>总则</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第一条 根据《食盐专营办法》（国务院令第696号）、《国务院关于印发盐业体制改革方案的通知》（国发〔2016〕25号），《山东省盐业体制改革实施方案》（鲁政发〔2017〕35号）有关政府食盐储备制度的要求，为应对重大自然灾害和突发公共事件，提高省级人民政府对食盐市场的宏观调控能力，规范和加强省级食盐储备管理，确保食盐市场安全和稳定供应，制定本办法。</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第二条 本办法所称省级食盐储备，是指省政府储备的用于调控省内食盐市场，应对特大灾情疫情、突发事件和食盐市场异常波动，以及省政府确定的其他特定用途，确保特殊时期食盐市场供应，质量符合国家标准要求的500克（500克以下规格）小包装及50千克大包装食用盐，其中加碘食盐碘含量应当符合我省的相关规定。食盐定点生产（批发）企业最低库存、最高库存和企业社会责任储备按国家相关规定执行。</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第三条 省级食盐储备遵循“政府牵总、企业承储、财政补贴、费用包干”的原则，采取“滚动储备，定期轮换”的商业化管理模式。</w:t>
      </w:r>
    </w:p>
    <w:p w:rsidR="002D0722" w:rsidRDefault="00992F66">
      <w:pPr>
        <w:ind w:firstLineChars="200" w:firstLine="640"/>
        <w:rPr>
          <w:rFonts w:ascii="仿宋" w:eastAsia="仿宋" w:hAnsi="仿宋" w:cs="仿宋"/>
          <w:color w:val="FF0000"/>
          <w:sz w:val="32"/>
          <w:szCs w:val="32"/>
        </w:rPr>
      </w:pPr>
      <w:r>
        <w:rPr>
          <w:rFonts w:ascii="仿宋" w:eastAsia="仿宋" w:hAnsi="仿宋" w:cs="仿宋" w:hint="eastAsia"/>
          <w:sz w:val="32"/>
          <w:szCs w:val="32"/>
        </w:rPr>
        <w:t>第四条 从事和参与省级食盐储备承储、管理、监督单位，必须遵守本办法</w:t>
      </w:r>
      <w:bookmarkStart w:id="0" w:name="_GoBack"/>
      <w:bookmarkEnd w:id="0"/>
      <w:r>
        <w:rPr>
          <w:rFonts w:ascii="仿宋" w:eastAsia="仿宋" w:hAnsi="仿宋" w:cs="仿宋" w:hint="eastAsia"/>
          <w:sz w:val="32"/>
          <w:szCs w:val="32"/>
        </w:rPr>
        <w:t>。各市可参照本办法</w:t>
      </w:r>
      <w:r w:rsidR="009E1DE9" w:rsidRPr="00A31DE7">
        <w:rPr>
          <w:rFonts w:ascii="仿宋" w:eastAsia="仿宋" w:hAnsi="仿宋" w:cs="仿宋" w:hint="eastAsia"/>
          <w:color w:val="FF0000"/>
          <w:sz w:val="32"/>
          <w:szCs w:val="32"/>
          <w:highlight w:val="yellow"/>
        </w:rPr>
        <w:t>制定</w:t>
      </w:r>
      <w:r>
        <w:rPr>
          <w:rFonts w:ascii="仿宋" w:eastAsia="仿宋" w:hAnsi="仿宋" w:cs="仿宋" w:hint="eastAsia"/>
          <w:sz w:val="32"/>
          <w:szCs w:val="32"/>
        </w:rPr>
        <w:t>市级食盐储备</w:t>
      </w:r>
      <w:r>
        <w:rPr>
          <w:rFonts w:ascii="仿宋" w:eastAsia="仿宋" w:hAnsi="仿宋" w:cs="仿宋" w:hint="eastAsia"/>
          <w:sz w:val="32"/>
          <w:szCs w:val="32"/>
        </w:rPr>
        <w:lastRenderedPageBreak/>
        <w:t>管理办法。</w:t>
      </w:r>
    </w:p>
    <w:p w:rsidR="002D0722" w:rsidRDefault="002D0722">
      <w:pPr>
        <w:ind w:firstLineChars="200" w:firstLine="640"/>
        <w:jc w:val="left"/>
        <w:rPr>
          <w:rFonts w:ascii="仿宋" w:eastAsia="仿宋" w:hAnsi="仿宋" w:cs="仿宋"/>
          <w:sz w:val="32"/>
          <w:szCs w:val="32"/>
        </w:rPr>
      </w:pPr>
    </w:p>
    <w:p w:rsidR="002D0722" w:rsidRDefault="00992F66">
      <w:pPr>
        <w:numPr>
          <w:ilvl w:val="0"/>
          <w:numId w:val="1"/>
        </w:numPr>
        <w:jc w:val="center"/>
        <w:rPr>
          <w:rFonts w:ascii="黑体" w:eastAsia="黑体" w:hAnsi="黑体" w:cs="黑体"/>
          <w:sz w:val="32"/>
          <w:szCs w:val="32"/>
        </w:rPr>
      </w:pPr>
      <w:r>
        <w:rPr>
          <w:rFonts w:ascii="黑体" w:eastAsia="黑体" w:hAnsi="黑体" w:cs="黑体" w:hint="eastAsia"/>
          <w:sz w:val="32"/>
          <w:szCs w:val="32"/>
        </w:rPr>
        <w:t>规模和资金使用</w:t>
      </w:r>
    </w:p>
    <w:p w:rsidR="002D0722" w:rsidRDefault="00992F66">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省级食盐储备规模为全省上一年度月均食盐消费量（核定7.5万吨，其中小包装食盐为3万吨，大包装食盐为4.5万吨）。储备规模如需调整，由省工业和信息化厅会同省财政厅提出方案，报省政府审定。</w:t>
      </w:r>
    </w:p>
    <w:p w:rsidR="002D0722" w:rsidRDefault="00992F66">
      <w:pPr>
        <w:rPr>
          <w:rFonts w:ascii="仿宋" w:eastAsia="仿宋" w:hAnsi="仿宋" w:cs="仿宋"/>
          <w:sz w:val="32"/>
          <w:szCs w:val="32"/>
        </w:rPr>
      </w:pPr>
      <w:r>
        <w:rPr>
          <w:rFonts w:ascii="仿宋" w:eastAsia="仿宋" w:hAnsi="仿宋" w:cs="仿宋" w:hint="eastAsia"/>
          <w:sz w:val="32"/>
          <w:szCs w:val="32"/>
        </w:rPr>
        <w:t xml:space="preserve">    省财政对承担食盐储备任务的企业（以下简称“承储企业”）为完成政府食盐储备任务而发生的贷款利息、资金占用费、管理费等支出给予补助，补助资金由承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包干使用。</w:t>
      </w:r>
    </w:p>
    <w:p w:rsidR="002D0722" w:rsidRDefault="002D0722">
      <w:pPr>
        <w:jc w:val="left"/>
        <w:rPr>
          <w:rFonts w:ascii="仿宋" w:eastAsia="仿宋" w:hAnsi="仿宋" w:cs="仿宋"/>
          <w:sz w:val="32"/>
          <w:szCs w:val="32"/>
        </w:rPr>
      </w:pPr>
    </w:p>
    <w:p w:rsidR="002D0722" w:rsidRDefault="00992F66">
      <w:pPr>
        <w:numPr>
          <w:ilvl w:val="0"/>
          <w:numId w:val="1"/>
        </w:numPr>
        <w:jc w:val="center"/>
        <w:rPr>
          <w:rFonts w:ascii="黑体" w:eastAsia="黑体" w:hAnsi="黑体" w:cs="黑体"/>
          <w:sz w:val="32"/>
          <w:szCs w:val="32"/>
        </w:rPr>
      </w:pPr>
      <w:r>
        <w:rPr>
          <w:rFonts w:ascii="黑体" w:eastAsia="黑体" w:hAnsi="黑体" w:cs="黑体" w:hint="eastAsia"/>
          <w:sz w:val="32"/>
          <w:szCs w:val="32"/>
        </w:rPr>
        <w:t>管理体系</w:t>
      </w:r>
    </w:p>
    <w:p w:rsidR="002D0722" w:rsidRDefault="00992F66">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工业和信息化厅负责牵头协调省级食盐储备管理工作，下达省级食盐储备计划；确定承储企业，落实储备计划；根据省级食盐储备情况提出项目预算安排建议和资金使用方案，并对项目资金使用绩效进行评价；对食盐储备有关情况进行监督检查，协调解决食盐储备工作中的问题。</w:t>
      </w:r>
    </w:p>
    <w:p w:rsidR="002D0722" w:rsidRDefault="00992F66">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省财政厅负责审核政府食盐储备项目预算安排建议，按规定程序报批后列入年度预算，依据省工业和信息化厅申报的资金使用计划，按照预算管理要求拨付资金。</w:t>
      </w:r>
    </w:p>
    <w:p w:rsidR="002D0722" w:rsidRDefault="00992F66">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要与省工业和信息化厅签订承储协议，</w:t>
      </w:r>
      <w:r>
        <w:rPr>
          <w:rFonts w:ascii="仿宋" w:eastAsia="仿宋" w:hAnsi="仿宋" w:cs="仿宋" w:hint="eastAsia"/>
          <w:sz w:val="32"/>
          <w:szCs w:val="32"/>
        </w:rPr>
        <w:lastRenderedPageBreak/>
        <w:t>明确各方的权利、义务和违约责任等事项。</w:t>
      </w:r>
    </w:p>
    <w:p w:rsidR="002D0722" w:rsidRDefault="002D0722">
      <w:pPr>
        <w:ind w:leftChars="200" w:left="420"/>
        <w:jc w:val="left"/>
        <w:rPr>
          <w:rFonts w:ascii="仿宋" w:eastAsia="仿宋" w:hAnsi="仿宋" w:cs="仿宋"/>
          <w:sz w:val="32"/>
          <w:szCs w:val="32"/>
        </w:rPr>
      </w:pPr>
    </w:p>
    <w:p w:rsidR="002D0722" w:rsidRDefault="00992F66">
      <w:pPr>
        <w:numPr>
          <w:ilvl w:val="0"/>
          <w:numId w:val="1"/>
        </w:numPr>
        <w:jc w:val="center"/>
        <w:rPr>
          <w:rFonts w:ascii="黑体" w:eastAsia="黑体" w:hAnsi="黑体" w:cs="黑体"/>
          <w:sz w:val="32"/>
          <w:szCs w:val="32"/>
        </w:rPr>
      </w:pPr>
      <w:r>
        <w:rPr>
          <w:rFonts w:ascii="黑体" w:eastAsia="黑体" w:hAnsi="黑体" w:cs="黑体" w:hint="eastAsia"/>
          <w:sz w:val="32"/>
          <w:szCs w:val="32"/>
        </w:rPr>
        <w:t>储存管理</w:t>
      </w:r>
    </w:p>
    <w:p w:rsidR="002D0722" w:rsidRDefault="00992F66">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应当具备以下条件：</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（一）具有食盐定点生产企业证书或食盐定点批发企业证书；</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（二）在省内具有设施齐全且安全的食盐仓储条件；</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（三）交通便利，调动方便，经营量大，便于轮换；</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（四）财务状况良好，盐款结算及时，无违规经营记录，未发生过食盐安全和质量事故。</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第十条 根据《山东省盐业体制改革实施方案》（鲁政发〔2017〕35号）文件要求，我省按照相对集中存储、分布科学合理、利于应急调动的原则，开展省级食盐储备工作。</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因违规不再继续承担省级食盐储备任务的，其承担的省级食盐储备任务由省工业和信息化厅牵头提出调整方案。</w:t>
      </w:r>
    </w:p>
    <w:p w:rsidR="002D0722" w:rsidRDefault="00992F66">
      <w:pPr>
        <w:ind w:leftChars="200" w:left="420"/>
        <w:jc w:val="left"/>
        <w:rPr>
          <w:rFonts w:ascii="仿宋" w:eastAsia="仿宋" w:hAnsi="仿宋" w:cs="仿宋"/>
          <w:sz w:val="32"/>
          <w:szCs w:val="32"/>
        </w:rPr>
      </w:pPr>
      <w:r>
        <w:rPr>
          <w:rFonts w:ascii="仿宋" w:eastAsia="仿宋" w:hAnsi="仿宋" w:cs="仿宋" w:hint="eastAsia"/>
          <w:sz w:val="32"/>
          <w:szCs w:val="32"/>
        </w:rPr>
        <w:t>第十一条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的职责：</w:t>
      </w:r>
    </w:p>
    <w:p w:rsidR="002D0722" w:rsidRDefault="00992F66">
      <w:pPr>
        <w:ind w:firstLineChars="200" w:firstLine="640"/>
        <w:jc w:val="left"/>
        <w:rPr>
          <w:rFonts w:ascii="仿宋" w:eastAsia="仿宋" w:hAnsi="仿宋" w:cs="仿宋"/>
          <w:sz w:val="32"/>
          <w:szCs w:val="32"/>
        </w:rPr>
      </w:pPr>
      <w:r>
        <w:rPr>
          <w:rFonts w:ascii="仿宋" w:eastAsia="仿宋" w:hAnsi="仿宋" w:cs="仿宋" w:hint="eastAsia"/>
          <w:sz w:val="32"/>
          <w:szCs w:val="32"/>
        </w:rPr>
        <w:t>（一）严格执行各项管理制度，对省级食盐储备的数量、质量和储存安全负责，保证食盐储备储得进、管得好、调得动、用得上；</w:t>
      </w:r>
    </w:p>
    <w:p w:rsidR="002D0722" w:rsidRDefault="00992F66">
      <w:pPr>
        <w:ind w:firstLineChars="200" w:firstLine="640"/>
        <w:jc w:val="left"/>
        <w:rPr>
          <w:rFonts w:ascii="仿宋" w:eastAsia="仿宋" w:hAnsi="仿宋" w:cs="仿宋"/>
          <w:sz w:val="32"/>
          <w:szCs w:val="32"/>
        </w:rPr>
      </w:pPr>
      <w:r>
        <w:rPr>
          <w:rFonts w:ascii="仿宋" w:eastAsia="仿宋" w:hAnsi="仿宋" w:cs="仿宋" w:hint="eastAsia"/>
          <w:sz w:val="32"/>
          <w:szCs w:val="32"/>
        </w:rPr>
        <w:t>（二）对省级食盐储备定点储存、专人保管、专账记载，保证食盐储备账</w:t>
      </w:r>
      <w:proofErr w:type="gramStart"/>
      <w:r>
        <w:rPr>
          <w:rFonts w:ascii="仿宋" w:eastAsia="仿宋" w:hAnsi="仿宋" w:cs="仿宋" w:hint="eastAsia"/>
          <w:sz w:val="32"/>
          <w:szCs w:val="32"/>
        </w:rPr>
        <w:t>账</w:t>
      </w:r>
      <w:proofErr w:type="gramEnd"/>
      <w:r>
        <w:rPr>
          <w:rFonts w:ascii="仿宋" w:eastAsia="仿宋" w:hAnsi="仿宋" w:cs="仿宋" w:hint="eastAsia"/>
          <w:sz w:val="32"/>
          <w:szCs w:val="32"/>
        </w:rPr>
        <w:t>相符、账物相符；</w:t>
      </w:r>
    </w:p>
    <w:p w:rsidR="002D0722" w:rsidRDefault="00992F66">
      <w:pPr>
        <w:ind w:firstLineChars="200" w:firstLine="640"/>
        <w:rPr>
          <w:rFonts w:ascii="仿宋" w:eastAsia="仿宋" w:hAnsi="仿宋" w:cs="仿宋"/>
          <w:sz w:val="32"/>
          <w:szCs w:val="32"/>
          <w:u w:val="single"/>
        </w:rPr>
      </w:pPr>
      <w:r>
        <w:rPr>
          <w:rFonts w:ascii="仿宋" w:eastAsia="仿宋" w:hAnsi="仿宋" w:cs="仿宋" w:hint="eastAsia"/>
          <w:sz w:val="32"/>
          <w:szCs w:val="32"/>
        </w:rPr>
        <w:lastRenderedPageBreak/>
        <w:t>（三）按照食盐质量和保管要求，至少每半年对食盐储备轮换一次，并对轮换出的食盐及时补库；</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（四）建立健全食盐储备的防火、防盗、防洪等安全管理制度，并配备必要的安全防护设施；</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（五）对食盐储备的储存管理状况进行经常性检查，发现问题及时处理。</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第十二条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不得有下列行为：</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（一）虚报食盐储备的数量，在储备中掺杂使假、以次充好；</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（二）擅自调换食盐储备的品种、变更食盐储备的储存地点；</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（三）因管理不善造成储备损失；</w:t>
      </w:r>
    </w:p>
    <w:p w:rsidR="002D0722" w:rsidRDefault="00992F66">
      <w:pPr>
        <w:ind w:firstLineChars="200" w:firstLine="640"/>
        <w:jc w:val="left"/>
        <w:rPr>
          <w:rFonts w:ascii="仿宋" w:eastAsia="仿宋" w:hAnsi="仿宋" w:cs="仿宋"/>
          <w:sz w:val="32"/>
          <w:szCs w:val="32"/>
        </w:rPr>
      </w:pPr>
      <w:r>
        <w:rPr>
          <w:rFonts w:ascii="仿宋" w:eastAsia="仿宋" w:hAnsi="仿宋" w:cs="仿宋" w:hint="eastAsia"/>
          <w:sz w:val="32"/>
          <w:szCs w:val="32"/>
        </w:rPr>
        <w:t>（四）擅自动用食盐储备、挪用储备资金，以储备食盐对外进行担保或清偿债务。</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第十三条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对省级食盐储备要做到定点存储、专账管理，与正常经营食盐严格分开，以确保紧急情况和突发事件时对食盐储备的需求。</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第十四条 对省级食盐储备实行挂牌管理。食盐储备（库）前悬挂“山东省省级食盐储备（库）”标牌，并在库内明显位置标明食盐入库时间、数量、品种及管理人员等。</w:t>
      </w:r>
    </w:p>
    <w:p w:rsidR="002D0722" w:rsidRDefault="002D0722">
      <w:pPr>
        <w:ind w:firstLineChars="200" w:firstLine="640"/>
        <w:jc w:val="left"/>
        <w:rPr>
          <w:rFonts w:ascii="仿宋" w:eastAsia="仿宋" w:hAnsi="仿宋" w:cs="仿宋"/>
          <w:sz w:val="32"/>
          <w:szCs w:val="32"/>
        </w:rPr>
      </w:pPr>
    </w:p>
    <w:p w:rsidR="002D0722" w:rsidRDefault="00992F66">
      <w:pPr>
        <w:jc w:val="center"/>
        <w:rPr>
          <w:rFonts w:ascii="黑体" w:eastAsia="黑体" w:hAnsi="黑体" w:cs="黑体"/>
          <w:sz w:val="32"/>
          <w:szCs w:val="32"/>
        </w:rPr>
      </w:pPr>
      <w:r>
        <w:rPr>
          <w:rFonts w:ascii="黑体" w:eastAsia="黑体" w:hAnsi="黑体" w:cs="黑体" w:hint="eastAsia"/>
          <w:sz w:val="32"/>
          <w:szCs w:val="32"/>
        </w:rPr>
        <w:t>第五章  储备动用</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第十五条 动用省级食盐储备需由省工业和信息化厅牵头提出动用方案，报省政府批准。紧急情况下，省政府可直接决定动用省级食盐储备并下达动用命令。</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第十六条 出现下列情况之一时，可以动用省级食盐储备：</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（一）全省或部分地区食盐明显供不应求；</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（二）发生重大自然灾害或者其他突发事件需要动用省级政府食盐储备；</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（三）省政府认为需要动用省级食盐储备的其他情况。</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第十七条 省工业和</w:t>
      </w:r>
      <w:proofErr w:type="gramStart"/>
      <w:r>
        <w:rPr>
          <w:rFonts w:ascii="仿宋" w:eastAsia="仿宋" w:hAnsi="仿宋" w:cs="仿宋" w:hint="eastAsia"/>
          <w:sz w:val="32"/>
          <w:szCs w:val="32"/>
        </w:rPr>
        <w:t>信息化厅应根据</w:t>
      </w:r>
      <w:proofErr w:type="gramEnd"/>
      <w:r>
        <w:rPr>
          <w:rFonts w:ascii="仿宋" w:eastAsia="仿宋" w:hAnsi="仿宋" w:cs="仿宋" w:hint="eastAsia"/>
          <w:sz w:val="32"/>
          <w:szCs w:val="32"/>
        </w:rPr>
        <w:t>省政府批准的省级食盐储备动用方案或下达的动用命令，具体负责组织实施。省直有关部门、有关市和县（市、区）人民政府对省级食盐储备动用命令的实施，应当给予支持、配合。</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第十八条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接到省政府下达的动用命令，或省政府授权部门下达的动用指令后必须立即执行，并按规定数量、品种、时限等要求组织食盐出库，不得以任何理由拒绝或拖延。</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任何单位和个人不得拒绝或擅自改变省级食盐储备动用命令。</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第十九条 省级食盐储备动用后，承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原则上应在1个月内补充储备，并将动用和补库情况报省工业和信息化厅备案。补充储备后的数量、品种、规格等要与下达的储备计</w:t>
      </w:r>
      <w:r>
        <w:rPr>
          <w:rFonts w:ascii="仿宋" w:eastAsia="仿宋" w:hAnsi="仿宋" w:cs="仿宋" w:hint="eastAsia"/>
          <w:sz w:val="32"/>
          <w:szCs w:val="32"/>
        </w:rPr>
        <w:lastRenderedPageBreak/>
        <w:t>划一致。</w:t>
      </w:r>
    </w:p>
    <w:p w:rsidR="002D0722" w:rsidRDefault="002D0722">
      <w:pPr>
        <w:ind w:firstLineChars="200" w:firstLine="640"/>
        <w:jc w:val="left"/>
        <w:rPr>
          <w:rFonts w:ascii="仿宋" w:eastAsia="仿宋" w:hAnsi="仿宋" w:cs="仿宋"/>
          <w:sz w:val="32"/>
          <w:szCs w:val="32"/>
        </w:rPr>
      </w:pPr>
    </w:p>
    <w:p w:rsidR="002D0722" w:rsidRDefault="00992F66">
      <w:pPr>
        <w:jc w:val="center"/>
        <w:rPr>
          <w:rFonts w:ascii="黑体" w:eastAsia="黑体" w:hAnsi="黑体" w:cs="黑体"/>
          <w:sz w:val="32"/>
          <w:szCs w:val="32"/>
        </w:rPr>
      </w:pPr>
      <w:r>
        <w:rPr>
          <w:rFonts w:ascii="黑体" w:eastAsia="黑体" w:hAnsi="黑体" w:cs="黑体" w:hint="eastAsia"/>
          <w:sz w:val="32"/>
          <w:szCs w:val="32"/>
        </w:rPr>
        <w:t>第六章  监督检查</w:t>
      </w:r>
    </w:p>
    <w:p w:rsidR="002D0722" w:rsidRDefault="00992F66">
      <w:pPr>
        <w:ind w:firstLineChars="200" w:firstLine="640"/>
        <w:rPr>
          <w:rFonts w:ascii="仿宋" w:eastAsia="仿宋" w:hAnsi="仿宋" w:cs="仿宋"/>
          <w:sz w:val="32"/>
          <w:szCs w:val="32"/>
          <w:u w:val="single"/>
        </w:rPr>
      </w:pPr>
      <w:r>
        <w:rPr>
          <w:rFonts w:ascii="仿宋" w:eastAsia="仿宋" w:hAnsi="仿宋" w:cs="仿宋" w:hint="eastAsia"/>
          <w:sz w:val="32"/>
          <w:szCs w:val="32"/>
        </w:rPr>
        <w:t>第二十条 省工业和信息化厅对省级政府食盐储备的数量及储存安全等实施监督管理；省盐业协会应结合工作,掌握相关情况，协助做好食盐储备工作。</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第二十一条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对有关部门的监督检查，应予以积极配合，不得拒绝、阻挠。</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条二十二条 在省级食盐储备管理工作中，负有相关责任的工作人员滥用职权、玩忽职守、徇私舞弊的，由其所在单位给予行政处分；构成犯罪的，移交司法机关依法追究刑事责任。</w:t>
      </w:r>
    </w:p>
    <w:p w:rsidR="002D0722" w:rsidRDefault="00992F66">
      <w:pPr>
        <w:ind w:firstLineChars="200" w:firstLine="640"/>
        <w:jc w:val="left"/>
        <w:rPr>
          <w:rFonts w:ascii="仿宋" w:eastAsia="仿宋" w:hAnsi="仿宋" w:cs="仿宋"/>
          <w:sz w:val="32"/>
          <w:szCs w:val="32"/>
        </w:rPr>
      </w:pPr>
      <w:r>
        <w:rPr>
          <w:rFonts w:ascii="仿宋" w:eastAsia="仿宋" w:hAnsi="仿宋" w:cs="仿宋" w:hint="eastAsia"/>
          <w:sz w:val="32"/>
          <w:szCs w:val="32"/>
        </w:rPr>
        <w:t>第二十三条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违反本办法和</w:t>
      </w:r>
      <w:proofErr w:type="gramStart"/>
      <w:r>
        <w:rPr>
          <w:rFonts w:ascii="仿宋" w:eastAsia="仿宋" w:hAnsi="仿宋" w:cs="仿宋" w:hint="eastAsia"/>
          <w:sz w:val="32"/>
          <w:szCs w:val="32"/>
        </w:rPr>
        <w:t>承储</w:t>
      </w:r>
      <w:proofErr w:type="gramEnd"/>
      <w:r>
        <w:rPr>
          <w:rFonts w:ascii="仿宋" w:eastAsia="仿宋" w:hAnsi="仿宋" w:cs="仿宋" w:hint="eastAsia"/>
          <w:sz w:val="32"/>
          <w:szCs w:val="32"/>
        </w:rPr>
        <w:t>协议的，扣减财政补贴，取消承储资格，并依据国家发展改革委牵头承办的《关于对盐行业生产经营严重失信者开展联合惩戒的合作备忘录》（</w:t>
      </w:r>
      <w:proofErr w:type="gramStart"/>
      <w:r>
        <w:rPr>
          <w:rFonts w:ascii="仿宋" w:eastAsia="仿宋" w:hAnsi="仿宋" w:cs="仿宋" w:hint="eastAsia"/>
          <w:sz w:val="32"/>
          <w:szCs w:val="32"/>
        </w:rPr>
        <w:t>发改经</w:t>
      </w:r>
      <w:proofErr w:type="gramEnd"/>
      <w:r>
        <w:rPr>
          <w:rFonts w:ascii="仿宋" w:eastAsia="仿宋" w:hAnsi="仿宋" w:cs="仿宋" w:hint="eastAsia"/>
          <w:sz w:val="32"/>
          <w:szCs w:val="32"/>
        </w:rPr>
        <w:t>体〔2017〕1164号）要求对企业相关责任人进行惩戒；涉嫌犯罪的，依法移交司法机关追究刑事责任。</w:t>
      </w:r>
    </w:p>
    <w:p w:rsidR="002D0722" w:rsidRDefault="00992F66">
      <w:pPr>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2D0722" w:rsidRDefault="00992F66">
      <w:pPr>
        <w:jc w:val="center"/>
        <w:rPr>
          <w:rFonts w:ascii="黑体" w:eastAsia="黑体" w:hAnsi="黑体" w:cs="黑体"/>
          <w:sz w:val="32"/>
          <w:szCs w:val="32"/>
        </w:rPr>
      </w:pPr>
      <w:r>
        <w:rPr>
          <w:rFonts w:ascii="黑体" w:eastAsia="黑体" w:hAnsi="黑体" w:cs="黑体" w:hint="eastAsia"/>
          <w:sz w:val="32"/>
          <w:szCs w:val="32"/>
        </w:rPr>
        <w:t>第七章  附则</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第二十四条 本办法由省工业和信息化厅负责解释。</w:t>
      </w:r>
    </w:p>
    <w:p w:rsidR="002D0722" w:rsidRDefault="00992F66">
      <w:pPr>
        <w:ind w:firstLineChars="200" w:firstLine="640"/>
        <w:rPr>
          <w:rFonts w:ascii="仿宋" w:eastAsia="仿宋" w:hAnsi="仿宋" w:cs="仿宋"/>
          <w:sz w:val="32"/>
          <w:szCs w:val="32"/>
        </w:rPr>
      </w:pPr>
      <w:r>
        <w:rPr>
          <w:rFonts w:ascii="仿宋" w:eastAsia="仿宋" w:hAnsi="仿宋" w:cs="仿宋" w:hint="eastAsia"/>
          <w:sz w:val="32"/>
          <w:szCs w:val="32"/>
        </w:rPr>
        <w:t>第二十五条 本办法有效期自2020年10月1日起，至2025年9月30日止。</w:t>
      </w:r>
    </w:p>
    <w:p w:rsidR="002D0722" w:rsidRDefault="00992F66">
      <w:pPr>
        <w:wordWrap w:val="0"/>
        <w:jc w:val="right"/>
        <w:rPr>
          <w:rFonts w:ascii="仿宋" w:eastAsia="仿宋" w:hAnsi="仿宋" w:cs="仿宋"/>
          <w:sz w:val="32"/>
          <w:szCs w:val="32"/>
        </w:rPr>
      </w:pPr>
      <w:r>
        <w:rPr>
          <w:rFonts w:ascii="仿宋" w:eastAsia="仿宋" w:hAnsi="仿宋" w:cs="仿宋" w:hint="eastAsia"/>
          <w:sz w:val="32"/>
          <w:szCs w:val="32"/>
        </w:rPr>
        <w:lastRenderedPageBreak/>
        <w:t xml:space="preserve"> </w:t>
      </w:r>
    </w:p>
    <w:sectPr w:rsidR="002D072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D4" w:rsidRDefault="005E7DD4">
      <w:r>
        <w:separator/>
      </w:r>
    </w:p>
  </w:endnote>
  <w:endnote w:type="continuationSeparator" w:id="0">
    <w:p w:rsidR="005E7DD4" w:rsidRDefault="005E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22" w:rsidRDefault="00992F66">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0722" w:rsidRDefault="00992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31DE7">
                            <w:rPr>
                              <w:noProof/>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D0722" w:rsidRDefault="00992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31DE7">
                      <w:rPr>
                        <w:noProof/>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D4" w:rsidRDefault="005E7DD4">
      <w:r>
        <w:separator/>
      </w:r>
    </w:p>
  </w:footnote>
  <w:footnote w:type="continuationSeparator" w:id="0">
    <w:p w:rsidR="005E7DD4" w:rsidRDefault="005E7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204B1"/>
    <w:multiLevelType w:val="singleLevel"/>
    <w:tmpl w:val="EAA204B1"/>
    <w:lvl w:ilvl="0">
      <w:start w:val="5"/>
      <w:numFmt w:val="chineseCounting"/>
      <w:suff w:val="space"/>
      <w:lvlText w:val="第%1条"/>
      <w:lvlJc w:val="left"/>
      <w:rPr>
        <w:rFonts w:hint="eastAsia"/>
      </w:rPr>
    </w:lvl>
  </w:abstractNum>
  <w:abstractNum w:abstractNumId="1">
    <w:nsid w:val="2D8F2E0C"/>
    <w:multiLevelType w:val="singleLevel"/>
    <w:tmpl w:val="2D8F2E0C"/>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33463"/>
    <w:rsid w:val="00092235"/>
    <w:rsid w:val="00092EAF"/>
    <w:rsid w:val="000939C9"/>
    <w:rsid w:val="001D4310"/>
    <w:rsid w:val="002D0722"/>
    <w:rsid w:val="002F62FD"/>
    <w:rsid w:val="0030094D"/>
    <w:rsid w:val="00364C37"/>
    <w:rsid w:val="004335A2"/>
    <w:rsid w:val="00456028"/>
    <w:rsid w:val="005605EA"/>
    <w:rsid w:val="005E7DD4"/>
    <w:rsid w:val="006E2DF7"/>
    <w:rsid w:val="00711E4D"/>
    <w:rsid w:val="007C3634"/>
    <w:rsid w:val="007D4365"/>
    <w:rsid w:val="00860B71"/>
    <w:rsid w:val="0099030D"/>
    <w:rsid w:val="00992F66"/>
    <w:rsid w:val="009E1DE9"/>
    <w:rsid w:val="00A31DE7"/>
    <w:rsid w:val="00A91A61"/>
    <w:rsid w:val="00B45CC9"/>
    <w:rsid w:val="00BC0C2D"/>
    <w:rsid w:val="00BD1718"/>
    <w:rsid w:val="00BF359A"/>
    <w:rsid w:val="00C5490B"/>
    <w:rsid w:val="00C5797A"/>
    <w:rsid w:val="00D32163"/>
    <w:rsid w:val="00D57A1D"/>
    <w:rsid w:val="00E00ECA"/>
    <w:rsid w:val="00E26A8C"/>
    <w:rsid w:val="00F15610"/>
    <w:rsid w:val="00F50C0F"/>
    <w:rsid w:val="00F72386"/>
    <w:rsid w:val="00F96CC4"/>
    <w:rsid w:val="03236F32"/>
    <w:rsid w:val="064F4A9B"/>
    <w:rsid w:val="07AE2492"/>
    <w:rsid w:val="08307450"/>
    <w:rsid w:val="090D2987"/>
    <w:rsid w:val="0FDC323D"/>
    <w:rsid w:val="0FDC6D0C"/>
    <w:rsid w:val="0FFA28A4"/>
    <w:rsid w:val="13D4703B"/>
    <w:rsid w:val="14B97411"/>
    <w:rsid w:val="14C44225"/>
    <w:rsid w:val="14D57B67"/>
    <w:rsid w:val="14F52562"/>
    <w:rsid w:val="1553235A"/>
    <w:rsid w:val="18F511C2"/>
    <w:rsid w:val="19F173F9"/>
    <w:rsid w:val="1C372483"/>
    <w:rsid w:val="1F327B43"/>
    <w:rsid w:val="270467EA"/>
    <w:rsid w:val="28425595"/>
    <w:rsid w:val="2CF0385B"/>
    <w:rsid w:val="2D827253"/>
    <w:rsid w:val="2DC3726A"/>
    <w:rsid w:val="30C61569"/>
    <w:rsid w:val="3193203D"/>
    <w:rsid w:val="323E4E97"/>
    <w:rsid w:val="33947980"/>
    <w:rsid w:val="352C7A6B"/>
    <w:rsid w:val="37695060"/>
    <w:rsid w:val="3E162BAD"/>
    <w:rsid w:val="3EF46D45"/>
    <w:rsid w:val="40047C08"/>
    <w:rsid w:val="40B07C18"/>
    <w:rsid w:val="40F1399A"/>
    <w:rsid w:val="42777C82"/>
    <w:rsid w:val="44886095"/>
    <w:rsid w:val="46106F6C"/>
    <w:rsid w:val="471A4DBF"/>
    <w:rsid w:val="49833463"/>
    <w:rsid w:val="4D3C0A4D"/>
    <w:rsid w:val="4E7B41CB"/>
    <w:rsid w:val="4FC2418A"/>
    <w:rsid w:val="503C5D4E"/>
    <w:rsid w:val="5083717D"/>
    <w:rsid w:val="519977FD"/>
    <w:rsid w:val="52DE27BB"/>
    <w:rsid w:val="573F1F40"/>
    <w:rsid w:val="583A767B"/>
    <w:rsid w:val="5886433B"/>
    <w:rsid w:val="5B4D5797"/>
    <w:rsid w:val="607E34A6"/>
    <w:rsid w:val="61D04958"/>
    <w:rsid w:val="61E963F0"/>
    <w:rsid w:val="647660FB"/>
    <w:rsid w:val="64EE5BD7"/>
    <w:rsid w:val="661F38F2"/>
    <w:rsid w:val="68F3132C"/>
    <w:rsid w:val="69C229BC"/>
    <w:rsid w:val="6D6B0F39"/>
    <w:rsid w:val="6E40250A"/>
    <w:rsid w:val="70700C5B"/>
    <w:rsid w:val="70FD188F"/>
    <w:rsid w:val="74F52EE9"/>
    <w:rsid w:val="7562725E"/>
    <w:rsid w:val="75897704"/>
    <w:rsid w:val="75CE032D"/>
    <w:rsid w:val="78C358A6"/>
    <w:rsid w:val="7A7E13E4"/>
    <w:rsid w:val="7B8D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404</Words>
  <Characters>2303</Characters>
  <Application>Microsoft Office Word</Application>
  <DocSecurity>0</DocSecurity>
  <Lines>19</Lines>
  <Paragraphs>5</Paragraphs>
  <ScaleCrop>false</ScaleCrop>
  <Company>省财政厅</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cp:lastModifiedBy>
  <cp:revision>19</cp:revision>
  <cp:lastPrinted>2020-07-08T08:39:00Z</cp:lastPrinted>
  <dcterms:created xsi:type="dcterms:W3CDTF">2019-08-26T06:21:00Z</dcterms:created>
  <dcterms:modified xsi:type="dcterms:W3CDTF">2020-07-08T08:56:00Z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