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C4D1A2">
      <w:pPr>
        <w:spacing w:afterLines="0" w:line="600" w:lineRule="exact"/>
        <w:rPr>
          <w:rFonts w:hint="eastAsia" w:ascii="Times New Roman" w:hAnsi="Times New Roman" w:eastAsia="黑体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3</w:t>
      </w:r>
    </w:p>
    <w:p w14:paraId="7053C4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6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z w:val="36"/>
          <w:szCs w:val="36"/>
          <w:lang w:val="en-US" w:eastAsia="zh-CN"/>
        </w:rPr>
        <w:t>2026年度</w:t>
      </w:r>
      <w:r>
        <w:rPr>
          <w:rFonts w:hint="default" w:ascii="Times New Roman" w:hAnsi="Times New Roman" w:eastAsia="方正小标宋简体" w:cs="Times New Roman"/>
          <w:b w:val="0"/>
          <w:bCs w:val="0"/>
          <w:sz w:val="36"/>
          <w:szCs w:val="36"/>
        </w:rPr>
        <w:t>国家绿色</w:t>
      </w:r>
      <w:r>
        <w:rPr>
          <w:rFonts w:hint="default" w:ascii="Times New Roman" w:hAnsi="Times New Roman" w:eastAsia="方正小标宋简体" w:cs="Times New Roman"/>
          <w:b w:val="0"/>
          <w:bCs w:val="0"/>
          <w:sz w:val="36"/>
          <w:szCs w:val="36"/>
          <w:lang w:eastAsia="zh-CN"/>
        </w:rPr>
        <w:t>算力设施</w:t>
      </w:r>
      <w:r>
        <w:rPr>
          <w:rFonts w:hint="default" w:ascii="Times New Roman" w:hAnsi="Times New Roman" w:eastAsia="方正小标宋简体" w:cs="Times New Roman"/>
          <w:b w:val="0"/>
          <w:bCs w:val="0"/>
          <w:sz w:val="36"/>
          <w:szCs w:val="36"/>
        </w:rPr>
        <w:t>推荐汇总表</w:t>
      </w:r>
    </w:p>
    <w:p w14:paraId="08889B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60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default" w:ascii="Times New Roman" w:hAnsi="Times New Roman" w:eastAsia="仿宋" w:cs="Times New Roman"/>
          <w:bCs/>
          <w:sz w:val="28"/>
          <w:szCs w:val="28"/>
        </w:rPr>
      </w:pPr>
      <w:r>
        <w:rPr>
          <w:rFonts w:hint="default" w:ascii="Times New Roman" w:hAnsi="Times New Roman" w:eastAsia="仿宋" w:cs="Times New Roman"/>
          <w:bCs/>
          <w:sz w:val="28"/>
          <w:szCs w:val="28"/>
        </w:rPr>
        <w:t>推荐单位（公章）：</w:t>
      </w:r>
      <w:r>
        <w:rPr>
          <w:rFonts w:hint="default" w:ascii="Times New Roman" w:hAnsi="Times New Roman" w:eastAsia="仿宋" w:cs="Times New Roman"/>
          <w:bCs/>
          <w:sz w:val="28"/>
          <w:szCs w:val="28"/>
          <w:lang w:val="en-US" w:eastAsia="zh-CN"/>
        </w:rPr>
        <w:t xml:space="preserve">                           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 xml:space="preserve">联系人： </w:t>
      </w:r>
      <w:r>
        <w:rPr>
          <w:rFonts w:hint="default" w:ascii="Times New Roman" w:hAnsi="Times New Roman" w:eastAsia="仿宋" w:cs="Times New Roman"/>
          <w:bCs/>
          <w:sz w:val="28"/>
          <w:szCs w:val="28"/>
          <w:lang w:val="en-US" w:eastAsia="zh-CN"/>
        </w:rPr>
        <w:t xml:space="preserve">        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>联系电话：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85" w:type="dxa"/>
          <w:left w:w="108" w:type="dxa"/>
          <w:bottom w:w="85" w:type="dxa"/>
          <w:right w:w="108" w:type="dxa"/>
        </w:tblCellMar>
      </w:tblPr>
      <w:tblGrid>
        <w:gridCol w:w="722"/>
        <w:gridCol w:w="990"/>
        <w:gridCol w:w="990"/>
        <w:gridCol w:w="795"/>
        <w:gridCol w:w="1092"/>
        <w:gridCol w:w="864"/>
        <w:gridCol w:w="924"/>
        <w:gridCol w:w="1200"/>
        <w:gridCol w:w="1181"/>
        <w:gridCol w:w="1213"/>
        <w:gridCol w:w="1115"/>
        <w:gridCol w:w="1046"/>
        <w:gridCol w:w="997"/>
        <w:gridCol w:w="997"/>
      </w:tblGrid>
      <w:tr w14:paraId="64EBE0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1300" w:hRule="atLeast"/>
          <w:jc w:val="center"/>
        </w:trPr>
        <w:tc>
          <w:tcPr>
            <w:tcW w:w="722" w:type="dxa"/>
            <w:noWrap w:val="0"/>
            <w:vAlign w:val="center"/>
          </w:tcPr>
          <w:p w14:paraId="3CF8D0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黑体" w:cs="Times New Roman"/>
                <w:b w:val="0"/>
                <w:bCs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-SA"/>
              </w:rPr>
              <w:t>序号</w:t>
            </w:r>
          </w:p>
        </w:tc>
        <w:tc>
          <w:tcPr>
            <w:tcW w:w="990" w:type="dxa"/>
            <w:noWrap w:val="0"/>
            <w:vAlign w:val="center"/>
          </w:tcPr>
          <w:p w14:paraId="378162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黑体" w:cs="Times New Roman"/>
                <w:b w:val="0"/>
                <w:bCs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算力设施名称</w:t>
            </w:r>
          </w:p>
        </w:tc>
        <w:tc>
          <w:tcPr>
            <w:tcW w:w="990" w:type="dxa"/>
            <w:noWrap w:val="0"/>
            <w:vAlign w:val="center"/>
          </w:tcPr>
          <w:p w14:paraId="704BE9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黑体" w:cs="Times New Roman"/>
                <w:b w:val="0"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算力设施</w:t>
            </w:r>
            <w:r>
              <w:rPr>
                <w:rFonts w:hint="default" w:ascii="Times New Roman" w:hAnsi="Times New Roman" w:eastAsia="黑体" w:cs="Times New Roman"/>
                <w:bCs/>
                <w:color w:val="000000"/>
                <w:kern w:val="0"/>
                <w:sz w:val="24"/>
                <w:szCs w:val="24"/>
                <w:highlight w:val="none"/>
              </w:rPr>
              <w:t>所在</w:t>
            </w:r>
            <w:r>
              <w:rPr>
                <w:rFonts w:hint="default" w:ascii="Times New Roman" w:hAnsi="Times New Roman" w:eastAsia="黑体"/>
                <w:bCs/>
                <w:color w:val="000000"/>
                <w:kern w:val="0"/>
                <w:sz w:val="24"/>
                <w:szCs w:val="24"/>
                <w:highlight w:val="none"/>
              </w:rPr>
              <w:t>市（县、区）</w:t>
            </w:r>
          </w:p>
        </w:tc>
        <w:tc>
          <w:tcPr>
            <w:tcW w:w="795" w:type="dxa"/>
            <w:noWrap w:val="0"/>
            <w:vAlign w:val="center"/>
          </w:tcPr>
          <w:p w14:paraId="1AFC6B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申报</w:t>
            </w:r>
          </w:p>
          <w:p w14:paraId="50EE9E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黑体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单位</w:t>
            </w:r>
          </w:p>
        </w:tc>
        <w:tc>
          <w:tcPr>
            <w:tcW w:w="1092" w:type="dxa"/>
            <w:noWrap w:val="0"/>
            <w:vAlign w:val="center"/>
          </w:tcPr>
          <w:p w14:paraId="0FB1A9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000000"/>
                <w:kern w:val="0"/>
                <w:sz w:val="24"/>
                <w:szCs w:val="24"/>
                <w:highlight w:val="none"/>
                <w:lang w:eastAsia="zh-CN"/>
              </w:rPr>
              <w:t>算力设施</w:t>
            </w:r>
            <w:r>
              <w:rPr>
                <w:rFonts w:hint="default" w:ascii="Times New Roman" w:hAnsi="Times New Roman" w:eastAsia="黑体" w:cs="Times New Roman"/>
                <w:bCs/>
                <w:color w:val="000000"/>
                <w:kern w:val="0"/>
                <w:sz w:val="24"/>
                <w:szCs w:val="24"/>
                <w:highlight w:val="none"/>
              </w:rPr>
              <w:t>规模（标准机架数）</w:t>
            </w:r>
          </w:p>
        </w:tc>
        <w:tc>
          <w:tcPr>
            <w:tcW w:w="864" w:type="dxa"/>
            <w:noWrap w:val="0"/>
            <w:vAlign w:val="center"/>
          </w:tcPr>
          <w:p w14:paraId="4A2103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eastAsia="黑体" w:cs="Times New Roman"/>
                <w:bCs/>
                <w:color w:val="000000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Cs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</w:rPr>
              <w:t>上架率</w:t>
            </w:r>
            <w:r>
              <w:rPr>
                <w:rFonts w:hint="default" w:ascii="Times New Roman" w:hAnsi="Times New Roman" w:eastAsia="黑体" w:cs="Times New Roman"/>
                <w:bCs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eastAsia="黑体" w:cs="Times New Roman"/>
                <w:bCs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  <w:t>%</w:t>
            </w:r>
            <w:r>
              <w:rPr>
                <w:rFonts w:hint="default" w:ascii="Times New Roman" w:hAnsi="Times New Roman" w:eastAsia="黑体" w:cs="Times New Roman"/>
                <w:bCs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lang w:eastAsia="zh-CN"/>
              </w:rPr>
              <w:t>）</w:t>
            </w:r>
          </w:p>
        </w:tc>
        <w:tc>
          <w:tcPr>
            <w:tcW w:w="924" w:type="dxa"/>
            <w:noWrap w:val="0"/>
            <w:vAlign w:val="center"/>
          </w:tcPr>
          <w:p w14:paraId="0BC906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黑体" w:cs="Times New Roman"/>
                <w:bCs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Cs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lang w:eastAsia="zh-CN"/>
              </w:rPr>
              <w:t>算力规模（FLOPS）</w:t>
            </w:r>
          </w:p>
        </w:tc>
        <w:tc>
          <w:tcPr>
            <w:tcW w:w="1200" w:type="dxa"/>
            <w:noWrap w:val="0"/>
            <w:vAlign w:val="center"/>
          </w:tcPr>
          <w:p w14:paraId="2EA450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黑体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</w:rPr>
              <w:t>总</w:t>
            </w:r>
            <w:r>
              <w:rPr>
                <w:rFonts w:hint="default" w:ascii="Times New Roman" w:hAnsi="Times New Roman" w:eastAsia="黑体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耗电量</w:t>
            </w:r>
          </w:p>
          <w:p w14:paraId="741DEC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-SA"/>
              </w:rPr>
              <w:t>（</w:t>
            </w: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千瓦时</w:t>
            </w: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-SA"/>
              </w:rPr>
              <w:t>）</w:t>
            </w:r>
          </w:p>
        </w:tc>
        <w:tc>
          <w:tcPr>
            <w:tcW w:w="1181" w:type="dxa"/>
            <w:noWrap w:val="0"/>
            <w:vAlign w:val="center"/>
          </w:tcPr>
          <w:p w14:paraId="1C5E47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000000"/>
                <w:kern w:val="0"/>
                <w:sz w:val="24"/>
                <w:szCs w:val="24"/>
                <w:highlight w:val="none"/>
              </w:rPr>
              <w:t>可再生能源</w:t>
            </w:r>
            <w:r>
              <w:rPr>
                <w:rFonts w:hint="default" w:ascii="Times New Roman" w:hAnsi="Times New Roman" w:eastAsia="黑体" w:cs="Times New Roman"/>
                <w:bCs/>
                <w:color w:val="000000"/>
                <w:kern w:val="0"/>
                <w:sz w:val="24"/>
                <w:szCs w:val="24"/>
                <w:highlight w:val="none"/>
                <w:lang w:eastAsia="zh-CN"/>
              </w:rPr>
              <w:t>电量占比</w:t>
            </w:r>
            <w:r>
              <w:rPr>
                <w:rFonts w:hint="default" w:ascii="Times New Roman" w:hAnsi="Times New Roman" w:eastAsia="黑体" w:cs="Times New Roman"/>
                <w:bCs/>
                <w:color w:val="000000"/>
                <w:kern w:val="0"/>
                <w:sz w:val="24"/>
                <w:szCs w:val="24"/>
                <w:highlight w:val="none"/>
              </w:rPr>
              <w:t>（%）</w:t>
            </w:r>
          </w:p>
        </w:tc>
        <w:tc>
          <w:tcPr>
            <w:tcW w:w="1213" w:type="dxa"/>
            <w:noWrap w:val="0"/>
            <w:vAlign w:val="center"/>
          </w:tcPr>
          <w:p w14:paraId="29A4A3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黑体" w:cs="Times New Roman"/>
                <w:b w:val="0"/>
                <w:bCs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实际</w:t>
            </w: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-SA"/>
              </w:rPr>
              <w:t>电能利用效率（</w:t>
            </w: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PUE</w:t>
            </w: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-SA"/>
              </w:rPr>
              <w:t>）</w:t>
            </w:r>
          </w:p>
        </w:tc>
        <w:tc>
          <w:tcPr>
            <w:tcW w:w="1115" w:type="dxa"/>
            <w:noWrap w:val="0"/>
            <w:vAlign w:val="center"/>
          </w:tcPr>
          <w:p w14:paraId="452EEF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碳利用效率（CUE）</w:t>
            </w:r>
          </w:p>
        </w:tc>
        <w:tc>
          <w:tcPr>
            <w:tcW w:w="1046" w:type="dxa"/>
            <w:noWrap w:val="0"/>
            <w:vAlign w:val="center"/>
          </w:tcPr>
          <w:p w14:paraId="121341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黑体" w:cs="Times New Roman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-SA"/>
              </w:rPr>
              <w:t>所属</w:t>
            </w: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领域（单选）</w:t>
            </w:r>
          </w:p>
        </w:tc>
        <w:tc>
          <w:tcPr>
            <w:tcW w:w="997" w:type="dxa"/>
            <w:noWrap w:val="0"/>
            <w:vAlign w:val="center"/>
          </w:tcPr>
          <w:p w14:paraId="5710B8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所属类型（单选）</w:t>
            </w:r>
          </w:p>
        </w:tc>
        <w:tc>
          <w:tcPr>
            <w:tcW w:w="997" w:type="dxa"/>
            <w:noWrap w:val="0"/>
            <w:vAlign w:val="center"/>
          </w:tcPr>
          <w:p w14:paraId="1F62B5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是否符合审核程序</w:t>
            </w:r>
          </w:p>
        </w:tc>
      </w:tr>
      <w:tr w14:paraId="02F7FD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259" w:hRule="atLeast"/>
          <w:jc w:val="center"/>
        </w:trPr>
        <w:tc>
          <w:tcPr>
            <w:tcW w:w="722" w:type="dxa"/>
            <w:noWrap w:val="0"/>
            <w:vAlign w:val="center"/>
          </w:tcPr>
          <w:p w14:paraId="0ACA2FF0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  <w:t>1</w:t>
            </w:r>
          </w:p>
        </w:tc>
        <w:tc>
          <w:tcPr>
            <w:tcW w:w="990" w:type="dxa"/>
            <w:noWrap w:val="0"/>
            <w:vAlign w:val="top"/>
          </w:tcPr>
          <w:p w14:paraId="17BC009D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990" w:type="dxa"/>
            <w:noWrap w:val="0"/>
            <w:vAlign w:val="top"/>
          </w:tcPr>
          <w:p w14:paraId="553CC304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795" w:type="dxa"/>
            <w:noWrap w:val="0"/>
            <w:vAlign w:val="top"/>
          </w:tcPr>
          <w:p w14:paraId="5A8A9EFC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092" w:type="dxa"/>
            <w:noWrap w:val="0"/>
            <w:vAlign w:val="top"/>
          </w:tcPr>
          <w:p w14:paraId="6FBAB6B0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864" w:type="dxa"/>
            <w:noWrap w:val="0"/>
            <w:vAlign w:val="center"/>
          </w:tcPr>
          <w:p w14:paraId="41011027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924" w:type="dxa"/>
            <w:noWrap w:val="0"/>
            <w:vAlign w:val="center"/>
          </w:tcPr>
          <w:p w14:paraId="489BA82C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200" w:type="dxa"/>
            <w:noWrap w:val="0"/>
            <w:vAlign w:val="center"/>
          </w:tcPr>
          <w:p w14:paraId="2743862B">
            <w:pPr>
              <w:widowControl/>
              <w:spacing w:line="240" w:lineRule="auto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181" w:type="dxa"/>
            <w:noWrap w:val="0"/>
            <w:vAlign w:val="center"/>
          </w:tcPr>
          <w:p w14:paraId="781D6BA2">
            <w:pPr>
              <w:widowControl/>
              <w:spacing w:line="240" w:lineRule="auto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213" w:type="dxa"/>
            <w:noWrap w:val="0"/>
            <w:vAlign w:val="center"/>
          </w:tcPr>
          <w:p w14:paraId="0091E011">
            <w:pPr>
              <w:widowControl/>
              <w:spacing w:line="240" w:lineRule="auto"/>
              <w:jc w:val="both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115" w:type="dxa"/>
            <w:noWrap w:val="0"/>
            <w:vAlign w:val="center"/>
          </w:tcPr>
          <w:p w14:paraId="32695DFA">
            <w:pPr>
              <w:widowControl/>
              <w:spacing w:line="240" w:lineRule="auto"/>
              <w:jc w:val="both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046" w:type="dxa"/>
            <w:noWrap w:val="0"/>
            <w:vAlign w:val="center"/>
          </w:tcPr>
          <w:p w14:paraId="5DF563A2">
            <w:pPr>
              <w:snapToGrid w:val="0"/>
              <w:spacing w:line="240" w:lineRule="auto"/>
              <w:jc w:val="left"/>
              <w:rPr>
                <w:rFonts w:hint="default" w:ascii="Times New Roman" w:hAnsi="Times New Roman" w:eastAsia="仿宋_GB2312" w:cs="Times New Roman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997" w:type="dxa"/>
            <w:noWrap w:val="0"/>
            <w:vAlign w:val="center"/>
          </w:tcPr>
          <w:p w14:paraId="2BFB29C3">
            <w:pPr>
              <w:snapToGrid w:val="0"/>
              <w:spacing w:line="240" w:lineRule="auto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997" w:type="dxa"/>
            <w:noWrap w:val="0"/>
            <w:vAlign w:val="center"/>
          </w:tcPr>
          <w:p w14:paraId="6770E334">
            <w:pPr>
              <w:snapToGrid w:val="0"/>
              <w:spacing w:line="240" w:lineRule="auto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</w:tr>
      <w:tr w14:paraId="535D0D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247" w:hRule="atLeast"/>
          <w:jc w:val="center"/>
        </w:trPr>
        <w:tc>
          <w:tcPr>
            <w:tcW w:w="722" w:type="dxa"/>
            <w:noWrap w:val="0"/>
            <w:vAlign w:val="center"/>
          </w:tcPr>
          <w:p w14:paraId="27B02749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  <w:t>2</w:t>
            </w:r>
          </w:p>
        </w:tc>
        <w:tc>
          <w:tcPr>
            <w:tcW w:w="990" w:type="dxa"/>
            <w:noWrap w:val="0"/>
            <w:vAlign w:val="top"/>
          </w:tcPr>
          <w:p w14:paraId="69E65698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990" w:type="dxa"/>
            <w:noWrap w:val="0"/>
            <w:vAlign w:val="top"/>
          </w:tcPr>
          <w:p w14:paraId="55995ADF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795" w:type="dxa"/>
            <w:noWrap w:val="0"/>
            <w:vAlign w:val="top"/>
          </w:tcPr>
          <w:p w14:paraId="3996882E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092" w:type="dxa"/>
            <w:noWrap w:val="0"/>
            <w:vAlign w:val="top"/>
          </w:tcPr>
          <w:p w14:paraId="5B5BD469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864" w:type="dxa"/>
            <w:noWrap w:val="0"/>
            <w:vAlign w:val="center"/>
          </w:tcPr>
          <w:p w14:paraId="3A1264D3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924" w:type="dxa"/>
            <w:noWrap w:val="0"/>
            <w:vAlign w:val="center"/>
          </w:tcPr>
          <w:p w14:paraId="186E0032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200" w:type="dxa"/>
            <w:noWrap w:val="0"/>
            <w:vAlign w:val="center"/>
          </w:tcPr>
          <w:p w14:paraId="6371E48F">
            <w:pPr>
              <w:widowControl/>
              <w:spacing w:line="240" w:lineRule="auto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181" w:type="dxa"/>
            <w:noWrap w:val="0"/>
            <w:vAlign w:val="center"/>
          </w:tcPr>
          <w:p w14:paraId="4CA711A5">
            <w:pPr>
              <w:widowControl/>
              <w:spacing w:line="240" w:lineRule="auto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213" w:type="dxa"/>
            <w:noWrap w:val="0"/>
            <w:vAlign w:val="center"/>
          </w:tcPr>
          <w:p w14:paraId="22EAA225">
            <w:pPr>
              <w:widowControl/>
              <w:spacing w:line="240" w:lineRule="auto"/>
              <w:jc w:val="both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115" w:type="dxa"/>
            <w:noWrap w:val="0"/>
            <w:vAlign w:val="center"/>
          </w:tcPr>
          <w:p w14:paraId="1FDBB053">
            <w:pPr>
              <w:widowControl/>
              <w:spacing w:line="240" w:lineRule="auto"/>
              <w:jc w:val="both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046" w:type="dxa"/>
            <w:noWrap w:val="0"/>
            <w:vAlign w:val="center"/>
          </w:tcPr>
          <w:p w14:paraId="2DD70FC5">
            <w:pPr>
              <w:snapToGrid w:val="0"/>
              <w:spacing w:line="240" w:lineRule="auto"/>
              <w:jc w:val="left"/>
              <w:rPr>
                <w:rFonts w:hint="default" w:ascii="Times New Roman" w:hAnsi="Times New Roman" w:eastAsia="仿宋_GB2312" w:cs="Times New Roman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997" w:type="dxa"/>
            <w:noWrap w:val="0"/>
            <w:vAlign w:val="center"/>
          </w:tcPr>
          <w:p w14:paraId="2D648ED3">
            <w:pPr>
              <w:snapToGrid w:val="0"/>
              <w:spacing w:line="240" w:lineRule="auto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997" w:type="dxa"/>
            <w:noWrap w:val="0"/>
            <w:vAlign w:val="center"/>
          </w:tcPr>
          <w:p w14:paraId="179D9B5E">
            <w:pPr>
              <w:snapToGrid w:val="0"/>
              <w:spacing w:line="240" w:lineRule="auto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</w:tr>
      <w:tr w14:paraId="2C969C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2" w:type="dxa"/>
            <w:noWrap w:val="0"/>
            <w:vAlign w:val="center"/>
          </w:tcPr>
          <w:p w14:paraId="5ADF8B01">
            <w:pPr>
              <w:spacing w:line="240" w:lineRule="auto"/>
              <w:jc w:val="center"/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  <w:t>..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.</w:t>
            </w:r>
          </w:p>
        </w:tc>
        <w:tc>
          <w:tcPr>
            <w:tcW w:w="990" w:type="dxa"/>
            <w:noWrap w:val="0"/>
            <w:vAlign w:val="top"/>
          </w:tcPr>
          <w:p w14:paraId="774F8D9C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990" w:type="dxa"/>
            <w:noWrap w:val="0"/>
            <w:vAlign w:val="top"/>
          </w:tcPr>
          <w:p w14:paraId="776DA63C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795" w:type="dxa"/>
            <w:noWrap w:val="0"/>
            <w:vAlign w:val="top"/>
          </w:tcPr>
          <w:p w14:paraId="6CA68B8F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092" w:type="dxa"/>
            <w:noWrap w:val="0"/>
            <w:vAlign w:val="top"/>
          </w:tcPr>
          <w:p w14:paraId="24325ED9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864" w:type="dxa"/>
            <w:noWrap w:val="0"/>
            <w:vAlign w:val="top"/>
          </w:tcPr>
          <w:p w14:paraId="19714D02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924" w:type="dxa"/>
            <w:noWrap w:val="0"/>
            <w:vAlign w:val="top"/>
          </w:tcPr>
          <w:p w14:paraId="25DA61AC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200" w:type="dxa"/>
            <w:noWrap w:val="0"/>
            <w:vAlign w:val="top"/>
          </w:tcPr>
          <w:p w14:paraId="0E603115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181" w:type="dxa"/>
            <w:noWrap w:val="0"/>
            <w:vAlign w:val="top"/>
          </w:tcPr>
          <w:p w14:paraId="2B16E5A0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213" w:type="dxa"/>
            <w:noWrap w:val="0"/>
            <w:vAlign w:val="top"/>
          </w:tcPr>
          <w:p w14:paraId="7C1047FE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115" w:type="dxa"/>
            <w:noWrap w:val="0"/>
            <w:vAlign w:val="top"/>
          </w:tcPr>
          <w:p w14:paraId="103557E2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046" w:type="dxa"/>
            <w:noWrap w:val="0"/>
            <w:vAlign w:val="top"/>
          </w:tcPr>
          <w:p w14:paraId="414D7C6C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997" w:type="dxa"/>
            <w:noWrap w:val="0"/>
            <w:vAlign w:val="top"/>
          </w:tcPr>
          <w:p w14:paraId="76116509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997" w:type="dxa"/>
            <w:noWrap w:val="0"/>
            <w:vAlign w:val="top"/>
          </w:tcPr>
          <w:p w14:paraId="4FC28DDF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</w:tr>
    </w:tbl>
    <w:p w14:paraId="2778C188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before="0" w:beforeLines="0"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default" w:ascii="Times New Roman" w:hAnsi="Times New Roman" w:eastAsia="仿宋_GB2312" w:cs="Times New Roman"/>
          <w:bCs/>
          <w:i w:val="0"/>
          <w:iCs w:val="0"/>
          <w:color w:val="000000"/>
          <w:kern w:val="0"/>
          <w:sz w:val="28"/>
          <w:szCs w:val="28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Cs/>
          <w:sz w:val="28"/>
          <w:szCs w:val="28"/>
          <w:lang w:val="en-US" w:eastAsia="zh-CN"/>
        </w:rPr>
        <w:t>备注：1.所属领域包括：</w:t>
      </w:r>
      <w:r>
        <w:rPr>
          <w:rFonts w:hint="default" w:ascii="Times New Roman" w:hAnsi="Times New Roman" w:eastAsia="仿宋_GB2312" w:cs="Times New Roman"/>
          <w:bCs/>
          <w:i w:val="0"/>
          <w:iCs w:val="0"/>
          <w:color w:val="000000"/>
          <w:kern w:val="0"/>
          <w:sz w:val="28"/>
          <w:szCs w:val="28"/>
          <w:highlight w:val="none"/>
        </w:rPr>
        <w:t>工业</w:t>
      </w:r>
      <w:r>
        <w:rPr>
          <w:rFonts w:hint="default" w:ascii="Times New Roman" w:hAnsi="Times New Roman" w:eastAsia="仿宋_GB2312" w:cs="Times New Roman"/>
          <w:bCs/>
          <w:i w:val="0"/>
          <w:iCs w:val="0"/>
          <w:color w:val="000000"/>
          <w:kern w:val="0"/>
          <w:sz w:val="28"/>
          <w:szCs w:val="28"/>
          <w:highlight w:val="none"/>
          <w:lang w:eastAsia="zh-CN"/>
        </w:rPr>
        <w:t>、</w:t>
      </w:r>
      <w:r>
        <w:rPr>
          <w:rFonts w:hint="default" w:ascii="Times New Roman" w:hAnsi="Times New Roman" w:eastAsia="仿宋_GB2312" w:cs="Times New Roman"/>
          <w:bCs/>
          <w:i w:val="0"/>
          <w:iCs w:val="0"/>
          <w:color w:val="000000"/>
          <w:kern w:val="0"/>
          <w:sz w:val="28"/>
          <w:szCs w:val="28"/>
          <w:highlight w:val="none"/>
        </w:rPr>
        <w:t>信息通信</w:t>
      </w:r>
      <w:r>
        <w:rPr>
          <w:rFonts w:hint="default" w:ascii="Times New Roman" w:hAnsi="Times New Roman" w:eastAsia="仿宋_GB2312" w:cs="Times New Roman"/>
          <w:bCs/>
          <w:i w:val="0"/>
          <w:iCs w:val="0"/>
          <w:color w:val="000000"/>
          <w:kern w:val="0"/>
          <w:sz w:val="28"/>
          <w:szCs w:val="28"/>
          <w:highlight w:val="none"/>
          <w:lang w:eastAsia="zh-CN"/>
        </w:rPr>
        <w:t>、</w:t>
      </w:r>
      <w:r>
        <w:rPr>
          <w:rFonts w:hint="default" w:ascii="Times New Roman" w:hAnsi="Times New Roman" w:eastAsia="仿宋_GB2312" w:cs="Times New Roman"/>
          <w:bCs/>
          <w:i w:val="0"/>
          <w:iCs w:val="0"/>
          <w:color w:val="000000"/>
          <w:kern w:val="0"/>
          <w:sz w:val="28"/>
          <w:szCs w:val="28"/>
          <w:highlight w:val="none"/>
        </w:rPr>
        <w:t>能源</w:t>
      </w:r>
      <w:r>
        <w:rPr>
          <w:rFonts w:hint="default" w:ascii="Times New Roman" w:hAnsi="Times New Roman" w:eastAsia="仿宋_GB2312" w:cs="Times New Roman"/>
          <w:bCs/>
          <w:i w:val="0"/>
          <w:iCs w:val="0"/>
          <w:color w:val="000000"/>
          <w:kern w:val="0"/>
          <w:sz w:val="28"/>
          <w:szCs w:val="28"/>
          <w:highlight w:val="none"/>
          <w:lang w:eastAsia="zh-CN"/>
        </w:rPr>
        <w:t>、</w:t>
      </w:r>
      <w:r>
        <w:rPr>
          <w:rFonts w:hint="default" w:ascii="Times New Roman" w:hAnsi="Times New Roman" w:eastAsia="仿宋_GB2312" w:cs="Times New Roman"/>
          <w:bCs/>
          <w:i w:val="0"/>
          <w:iCs w:val="0"/>
          <w:color w:val="000000"/>
          <w:kern w:val="0"/>
          <w:sz w:val="28"/>
          <w:szCs w:val="28"/>
          <w:highlight w:val="none"/>
        </w:rPr>
        <w:t>互联网</w:t>
      </w:r>
      <w:r>
        <w:rPr>
          <w:rFonts w:hint="default" w:ascii="Times New Roman" w:hAnsi="Times New Roman" w:eastAsia="仿宋_GB2312" w:cs="Times New Roman"/>
          <w:bCs/>
          <w:i w:val="0"/>
          <w:iCs w:val="0"/>
          <w:color w:val="000000"/>
          <w:kern w:val="0"/>
          <w:sz w:val="28"/>
          <w:szCs w:val="28"/>
          <w:highlight w:val="none"/>
          <w:lang w:eastAsia="zh-CN"/>
        </w:rPr>
        <w:t>、</w:t>
      </w:r>
      <w:r>
        <w:rPr>
          <w:rFonts w:hint="default" w:ascii="Times New Roman" w:hAnsi="Times New Roman" w:eastAsia="仿宋_GB2312" w:cs="Times New Roman"/>
          <w:bCs/>
          <w:i w:val="0"/>
          <w:iCs w:val="0"/>
          <w:color w:val="000000"/>
          <w:kern w:val="0"/>
          <w:sz w:val="28"/>
          <w:szCs w:val="28"/>
          <w:highlight w:val="none"/>
        </w:rPr>
        <w:t>金融</w:t>
      </w:r>
      <w:r>
        <w:rPr>
          <w:rFonts w:hint="default" w:ascii="Times New Roman" w:hAnsi="Times New Roman" w:eastAsia="仿宋_GB2312" w:cs="Times New Roman"/>
          <w:bCs/>
          <w:i w:val="0"/>
          <w:iCs w:val="0"/>
          <w:color w:val="000000"/>
          <w:kern w:val="0"/>
          <w:sz w:val="28"/>
          <w:szCs w:val="28"/>
          <w:highlight w:val="none"/>
          <w:lang w:eastAsia="zh-CN"/>
        </w:rPr>
        <w:t>、</w:t>
      </w:r>
      <w:r>
        <w:rPr>
          <w:rFonts w:hint="default" w:ascii="Times New Roman" w:hAnsi="Times New Roman" w:eastAsia="仿宋_GB2312" w:cs="Times New Roman"/>
          <w:bCs/>
          <w:i w:val="0"/>
          <w:iCs w:val="0"/>
          <w:color w:val="000000"/>
          <w:kern w:val="0"/>
          <w:sz w:val="28"/>
          <w:szCs w:val="28"/>
          <w:highlight w:val="none"/>
        </w:rPr>
        <w:t>公共机构</w:t>
      </w:r>
      <w:r>
        <w:rPr>
          <w:rFonts w:hint="default" w:ascii="Times New Roman" w:hAnsi="Times New Roman" w:eastAsia="仿宋_GB2312" w:cs="Times New Roman"/>
          <w:bCs/>
          <w:i w:val="0"/>
          <w:iCs w:val="0"/>
          <w:color w:val="000000"/>
          <w:kern w:val="0"/>
          <w:sz w:val="28"/>
          <w:szCs w:val="28"/>
          <w:highlight w:val="none"/>
          <w:lang w:val="en-US" w:eastAsia="zh-CN"/>
        </w:rPr>
        <w:t>。</w:t>
      </w:r>
    </w:p>
    <w:p w14:paraId="7C75C08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before="0" w:beforeLines="0" w:line="560" w:lineRule="exact"/>
        <w:ind w:left="840" w:leftChars="0" w:right="0" w:rightChars="0" w:firstLine="0" w:firstLineChars="0"/>
        <w:jc w:val="both"/>
        <w:textAlignment w:val="auto"/>
        <w:outlineLvl w:val="9"/>
        <w:rPr>
          <w:rFonts w:hint="default" w:ascii="Times New Roman" w:hAnsi="Times New Roman" w:eastAsia="仿宋_GB2312" w:cs="Times New Roman"/>
          <w:i w:val="0"/>
          <w:iCs w:val="0"/>
          <w:kern w:val="0"/>
          <w:sz w:val="28"/>
          <w:szCs w:val="28"/>
          <w:lang w:eastAsia="zh-CN"/>
        </w:rPr>
      </w:pPr>
      <w:r>
        <w:rPr>
          <w:rFonts w:hint="default" w:ascii="Times New Roman" w:hAnsi="Times New Roman" w:eastAsia="仿宋_GB2312" w:cs="Times New Roman"/>
          <w:bCs/>
          <w:i w:val="0"/>
          <w:iCs w:val="0"/>
          <w:color w:val="000000"/>
          <w:kern w:val="0"/>
          <w:sz w:val="28"/>
          <w:szCs w:val="28"/>
          <w:highlight w:val="none"/>
          <w:lang w:val="en-US" w:eastAsia="zh-CN"/>
        </w:rPr>
        <w:t>2.所属类型包括：</w:t>
      </w:r>
      <w:r>
        <w:rPr>
          <w:rFonts w:hint="default" w:ascii="Times New Roman" w:hAnsi="Times New Roman" w:eastAsia="仿宋_GB2312" w:cs="Times New Roman"/>
          <w:i w:val="0"/>
          <w:iCs w:val="0"/>
          <w:kern w:val="0"/>
          <w:sz w:val="28"/>
          <w:szCs w:val="28"/>
          <w:lang w:eastAsia="zh-CN"/>
        </w:rPr>
        <w:t>智算设施</w:t>
      </w:r>
      <w:r>
        <w:rPr>
          <w:rFonts w:hint="default" w:ascii="Times New Roman" w:hAnsi="Times New Roman" w:eastAsia="仿宋_GB2312" w:cs="Times New Roman"/>
          <w:i w:val="0"/>
          <w:iCs w:val="0"/>
          <w:kern w:val="0"/>
          <w:sz w:val="28"/>
          <w:szCs w:val="28"/>
        </w:rPr>
        <w:t>、</w:t>
      </w:r>
      <w:r>
        <w:rPr>
          <w:rFonts w:hint="default" w:ascii="Times New Roman" w:hAnsi="Times New Roman" w:eastAsia="仿宋_GB2312" w:cs="Times New Roman"/>
          <w:i w:val="0"/>
          <w:iCs w:val="0"/>
          <w:kern w:val="0"/>
          <w:sz w:val="28"/>
          <w:szCs w:val="28"/>
          <w:lang w:eastAsia="zh-CN"/>
        </w:rPr>
        <w:t>通算设施</w:t>
      </w:r>
      <w:r>
        <w:rPr>
          <w:rFonts w:hint="default" w:ascii="Times New Roman" w:hAnsi="Times New Roman" w:eastAsia="仿宋_GB2312" w:cs="Times New Roman"/>
          <w:i w:val="0"/>
          <w:iCs w:val="0"/>
          <w:kern w:val="0"/>
          <w:sz w:val="28"/>
          <w:szCs w:val="28"/>
        </w:rPr>
        <w:t>、超算</w:t>
      </w:r>
      <w:r>
        <w:rPr>
          <w:rFonts w:hint="default" w:ascii="Times New Roman" w:hAnsi="Times New Roman" w:eastAsia="仿宋_GB2312" w:cs="Times New Roman"/>
          <w:i w:val="0"/>
          <w:iCs w:val="0"/>
          <w:kern w:val="0"/>
          <w:sz w:val="28"/>
          <w:szCs w:val="28"/>
          <w:lang w:eastAsia="zh-CN"/>
        </w:rPr>
        <w:t>设施。</w:t>
      </w:r>
    </w:p>
    <w:p w14:paraId="0CD7371F">
      <w:pPr>
        <w:pStyle w:val="2"/>
        <w:numPr>
          <w:ilvl w:val="0"/>
          <w:numId w:val="0"/>
        </w:numPr>
        <w:tabs>
          <w:tab w:val="left" w:pos="1418"/>
        </w:tabs>
        <w:adjustRightInd w:val="0"/>
        <w:spacing w:before="0" w:after="0" w:line="560" w:lineRule="exact"/>
        <w:ind w:left="839" w:firstLine="0" w:firstLineChars="0"/>
        <w:rPr>
          <w:rFonts w:hint="default" w:ascii="Times New Roman" w:hAnsi="Times New Roman" w:eastAsia="仿宋_GB2312" w:cs="Times New Roman"/>
          <w:b w:val="0"/>
          <w:bCs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/>
          <w:sz w:val="28"/>
          <w:szCs w:val="28"/>
          <w:lang w:val="en-US" w:eastAsia="zh-CN"/>
        </w:rPr>
        <w:t>3.审核程序包括项目是否符合产业政策、产业规划以及是否履行完成开工建设审批等手续。</w:t>
      </w:r>
    </w:p>
    <w:p w14:paraId="1DBBB431">
      <w:pPr>
        <w:pStyle w:val="2"/>
        <w:numPr>
          <w:ilvl w:val="0"/>
          <w:numId w:val="0"/>
        </w:numPr>
        <w:tabs>
          <w:tab w:val="left" w:pos="1418"/>
        </w:tabs>
        <w:adjustRightInd w:val="0"/>
        <w:spacing w:before="0" w:after="0" w:line="560" w:lineRule="exact"/>
        <w:ind w:left="839" w:firstLine="0" w:firstLineChars="0"/>
        <w:rPr>
          <w:rFonts w:hint="default" w:ascii="Times New Roman" w:hAnsi="Times New Roman" w:eastAsia="仿宋_GB2312" w:cs="Times New Roman"/>
          <w:b w:val="0"/>
          <w:bCs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/>
          <w:sz w:val="28"/>
          <w:szCs w:val="28"/>
          <w:lang w:val="en-US" w:eastAsia="zh-CN"/>
        </w:rPr>
        <w:t>4.推荐单位（公章）处需省级工业和信息化主管部门、发展改革委同时盖章。</w:t>
      </w:r>
    </w:p>
    <w:p w14:paraId="22E5A957">
      <w:bookmarkStart w:id="0" w:name="_GoBack"/>
      <w:bookmarkEnd w:id="0"/>
    </w:p>
    <w:p w14:paraId="256DF0E5"/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roma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46B126E"/>
    <w:multiLevelType w:val="multilevel"/>
    <w:tmpl w:val="546B126E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  <w:lvl w:ilvl="1" w:tentative="0">
      <w:start w:val="1"/>
      <w:numFmt w:val="chineseCounting"/>
      <w:pStyle w:val="2"/>
      <w:suff w:val="nothing"/>
      <w:lvlText w:val="（%2）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suff w:val="nothing"/>
      <w:lvlText w:val="%3．"/>
      <w:lvlJc w:val="left"/>
      <w:pPr>
        <w:ind w:left="0" w:firstLine="400"/>
      </w:pPr>
      <w:rPr>
        <w:rFonts w:hint="eastAsia"/>
      </w:rPr>
    </w:lvl>
    <w:lvl w:ilvl="3" w:tentative="0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6AA42B5"/>
    <w:rsid w:val="22D201E4"/>
    <w:rsid w:val="33062B57"/>
    <w:rsid w:val="5BBF1586"/>
    <w:rsid w:val="6ACE597F"/>
    <w:rsid w:val="6D606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numPr>
        <w:ilvl w:val="1"/>
        <w:numId w:val="1"/>
      </w:numPr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2024-12-04T02:28:00Z</dcterms:created>
  <dc:creator>Lenovo</dc:creator>
  <cp:lastModifiedBy>陈雪</cp:lastModifiedBy>
  <dcterms:modified xsi:type="dcterms:W3CDTF">2026-10-16T07:29:37Z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01EF65DEF1D74046B27D379A1D9BF6EE_12</vt:lpwstr>
  </property>
  <property fmtid="{D5CDD505-2E9C-101B-9397-08002B2CF9AE}" pid="4" name="KSOTemplateDocerSaveRecord">
    <vt:lpwstr>eyJoZGlkIjoiODQ2NDM4MTdlYzQ4OWYyYjNhZWMwMGQ5N2JhY2U1NDgiLCJ1c2VySWQiOiIxNzY1NDc5NTkxIn0=</vt:lpwstr>
  </property>
</Properties>
</file>