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公文黑体" w:hAnsi="方正公文黑体" w:eastAsia="方正公文黑体" w:cs="方正公文黑体"/>
          <w:b w:val="0"/>
          <w:bCs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b w:val="0"/>
          <w:bCs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公文黑体" w:hAnsi="方正公文黑体" w:eastAsia="方正公文黑体" w:cs="方正公文黑体"/>
          <w:b w:val="0"/>
          <w:bCs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spacing w:val="-2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spacing w:val="-2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  <w:t>2021年度独角兽企业评审拟通过企业汇总表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spacing w:val="-2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</w:pPr>
    </w:p>
    <w:tbl>
      <w:tblPr>
        <w:tblW w:w="84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6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山东高速信联科技股份有限公司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山东宏济堂制药集团股份有限公司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以萨技术股份有限公司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青岛创新奇智科技集团股份有限公司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龙口中宇科技发展集团有限公司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蓬莱嘉信染料化工股份有限公司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潍坊力创电子科技有限公司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  <w:font w:name="EU-B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 ( 正文 )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8D9BE0"/>
    <w:rsid w:val="B78D9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2021-10-13T08:45:00Z</dcterms:created>
  <dc:creator>user</dc:creator>
  <cp:lastModifiedBy>user</cp:lastModifiedBy>
  <dcterms:modified xsi:type="dcterms:W3CDTF">2021-10-13T09:08:58Z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