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9CDEC">
      <w:pPr>
        <w:pStyle w:val="3"/>
        <w:keepNext w:val="0"/>
        <w:keepLines w:val="0"/>
        <w:pageBreakBefore w:val="0"/>
        <w:widowControl w:val="0"/>
        <w:kinsoku/>
        <w:wordWrap/>
        <w:overflowPunct/>
        <w:topLinePunct w:val="0"/>
        <w:autoSpaceDE/>
        <w:autoSpaceDN/>
        <w:bidi w:val="0"/>
        <w:adjustRightInd w:val="0"/>
        <w:snapToGrid w:val="0"/>
        <w:spacing w:line="360" w:lineRule="auto"/>
        <w:ind w:left="0" w:leftChars="0" w:right="0"/>
        <w:jc w:val="left"/>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附件6</w:t>
      </w:r>
    </w:p>
    <w:p w14:paraId="059E1E0A">
      <w:pPr>
        <w:pStyle w:val="4"/>
        <w:rPr>
          <w:rFonts w:hint="eastAsia"/>
          <w:lang w:val="en-US" w:eastAsia="zh-CN"/>
        </w:rPr>
      </w:pPr>
    </w:p>
    <w:p w14:paraId="4AED80D9">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认定条件</w:t>
      </w:r>
    </w:p>
    <w:p w14:paraId="22DDDF0F">
      <w:pPr>
        <w:pStyle w:val="20"/>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both"/>
        <w:textAlignment w:val="auto"/>
        <w:rPr>
          <w:rFonts w:hint="eastAsia" w:ascii="仿宋_GB2312" w:hAnsi="仿宋_GB2312" w:eastAsia="仿宋_GB2312" w:cs="仿宋_GB2312"/>
          <w:color w:val="auto"/>
          <w:sz w:val="32"/>
          <w:szCs w:val="32"/>
          <w:lang w:eastAsia="zh-CN"/>
        </w:rPr>
      </w:pPr>
    </w:p>
    <w:p w14:paraId="39962BB3">
      <w:pPr>
        <w:pStyle w:val="20"/>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省级软件工程技术中心应具备以下条件：</w:t>
      </w:r>
    </w:p>
    <w:p w14:paraId="2D17955B">
      <w:pPr>
        <w:keepNext w:val="0"/>
        <w:keepLines w:val="0"/>
        <w:pageBreakBefore w:val="0"/>
        <w:kinsoku/>
        <w:wordWrap/>
        <w:overflowPunct/>
        <w:topLinePunct w:val="0"/>
        <w:bidi w:val="0"/>
        <w:adjustRightInd w:val="0"/>
        <w:snapToGrid w:val="0"/>
        <w:spacing w:line="360" w:lineRule="auto"/>
        <w:ind w:left="0" w:leftChars="0" w:right="0"/>
        <w:textAlignment w:val="auto"/>
        <w:rPr>
          <w:rFonts w:hint="eastAsia" w:ascii="楷体_GB2312" w:hAnsi="楷体_GB2312" w:eastAsia="楷体_GB2312" w:cs="楷体_GB2312"/>
          <w:color w:val="auto"/>
          <w:sz w:val="32"/>
          <w:szCs w:val="32"/>
          <w:lang w:val="en-US"/>
        </w:rPr>
      </w:pPr>
      <w:r>
        <w:rPr>
          <w:rFonts w:hint="eastAsia" w:ascii="楷体_GB2312" w:hAnsi="楷体_GB2312" w:eastAsia="楷体_GB2312" w:cs="楷体_GB2312"/>
          <w:color w:val="auto"/>
          <w:sz w:val="32"/>
          <w:szCs w:val="32"/>
          <w:lang w:val="en-US" w:eastAsia="zh-CN"/>
        </w:rPr>
        <w:t xml:space="preserve">    （一）基础条件</w:t>
      </w:r>
    </w:p>
    <w:p w14:paraId="1E610A63">
      <w:pPr>
        <w:pStyle w:val="20"/>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b w:val="0"/>
          <w:bCs w:val="0"/>
          <w:color w:val="auto"/>
          <w:sz w:val="32"/>
          <w:szCs w:val="32"/>
        </w:rPr>
        <w:t>以软件产品开发及相关信息技术服务为主营业务</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并具有独立法人资格的企业</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32"/>
        </w:rPr>
        <w:t>按照工业和信息化部《软件和信息技术服务统计调查制度》要求纳入统计范围</w:t>
      </w:r>
      <w:r>
        <w:rPr>
          <w:rFonts w:hint="eastAsia" w:ascii="仿宋_GB2312" w:hAnsi="仿宋_GB2312" w:eastAsia="仿宋_GB2312" w:cs="仿宋_GB2312"/>
          <w:color w:val="auto"/>
          <w:sz w:val="32"/>
          <w:szCs w:val="32"/>
          <w:lang w:eastAsia="zh-CN"/>
        </w:rPr>
        <w:t>。</w:t>
      </w:r>
    </w:p>
    <w:p w14:paraId="146183E0">
      <w:pPr>
        <w:pStyle w:val="20"/>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2.设有独立的软件和信息服务研发部门或机构，组织体系健全，发展规划明确，具有较为完善的研究、开发、试验条件，符合有关版权规定。</w:t>
      </w:r>
    </w:p>
    <w:p w14:paraId="3E44A5EB">
      <w:pPr>
        <w:pStyle w:val="20"/>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3.全面落实安全生产主体责任，建立健全安全风险防范机制，三年内未发生</w:t>
      </w:r>
      <w:r>
        <w:rPr>
          <w:rFonts w:hint="eastAsia" w:ascii="仿宋_GB2312" w:hAnsi="仿宋_GB2312" w:eastAsia="仿宋_GB2312" w:cs="仿宋_GB2312"/>
          <w:color w:val="auto"/>
          <w:sz w:val="32"/>
          <w:szCs w:val="32"/>
          <w:lang w:eastAsia="zh-CN"/>
        </w:rPr>
        <w:t>较大及以上</w:t>
      </w:r>
      <w:r>
        <w:rPr>
          <w:rFonts w:hint="eastAsia" w:ascii="仿宋_GB2312" w:hAnsi="仿宋_GB2312" w:eastAsia="仿宋_GB2312" w:cs="仿宋_GB2312"/>
          <w:color w:val="auto"/>
          <w:sz w:val="32"/>
          <w:szCs w:val="32"/>
        </w:rPr>
        <w:t>安全</w:t>
      </w:r>
      <w:r>
        <w:rPr>
          <w:rFonts w:hint="eastAsia" w:ascii="仿宋_GB2312" w:hAnsi="仿宋_GB2312" w:eastAsia="仿宋_GB2312" w:cs="仿宋_GB2312"/>
          <w:color w:val="auto"/>
          <w:sz w:val="32"/>
          <w:szCs w:val="32"/>
          <w:lang w:eastAsia="zh-CN"/>
        </w:rPr>
        <w:t>生产</w:t>
      </w:r>
      <w:r>
        <w:rPr>
          <w:rFonts w:hint="eastAsia" w:ascii="仿宋_GB2312" w:hAnsi="仿宋_GB2312" w:eastAsia="仿宋_GB2312" w:cs="仿宋_GB2312"/>
          <w:color w:val="auto"/>
          <w:sz w:val="32"/>
          <w:szCs w:val="32"/>
        </w:rPr>
        <w:t>责任事故。</w:t>
      </w:r>
    </w:p>
    <w:p w14:paraId="76B98410">
      <w:pPr>
        <w:pStyle w:val="20"/>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（二）一般条件</w:t>
      </w:r>
    </w:p>
    <w:p w14:paraId="7D7C8A8C">
      <w:pPr>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1.申报基础软件、研发设计类工业软件、生产控制类工业软件、信息安全软件、集成电路设计领域的，近两个年度企业相关领域软件业务收入均不低于2000万元，其他领域不低于5000万元。</w:t>
      </w:r>
    </w:p>
    <w:p w14:paraId="20845997">
      <w:pPr>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2.近两个年度研究开发费用总额占企业销售（营业）收入总额的比例均不低于7%。</w:t>
      </w:r>
    </w:p>
    <w:p w14:paraId="686760C8">
      <w:pPr>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3.企业</w:t>
      </w:r>
      <w:r>
        <w:rPr>
          <w:rFonts w:hint="eastAsia" w:ascii="仿宋_GB2312" w:hAnsi="仿宋_GB2312" w:eastAsia="仿宋_GB2312" w:cs="仿宋_GB2312"/>
          <w:color w:val="auto"/>
          <w:sz w:val="32"/>
          <w:szCs w:val="32"/>
          <w:lang w:eastAsia="zh-CN"/>
        </w:rPr>
        <w:t>在申报领域</w:t>
      </w:r>
      <w:r>
        <w:rPr>
          <w:rFonts w:hint="eastAsia" w:ascii="仿宋_GB2312" w:hAnsi="仿宋_GB2312" w:eastAsia="仿宋_GB2312" w:cs="仿宋_GB2312"/>
          <w:color w:val="auto"/>
          <w:kern w:val="0"/>
          <w:sz w:val="32"/>
          <w:szCs w:val="32"/>
        </w:rPr>
        <w:t>具有较强的技术实力</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sz w:val="32"/>
          <w:szCs w:val="32"/>
          <w:lang w:val="en-US" w:eastAsia="zh-CN"/>
        </w:rPr>
        <w:t>近三年内，新增相关的软件著作权登记不少于10项或集成电路布图设计登记不少于3项</w:t>
      </w:r>
      <w:r>
        <w:rPr>
          <w:rFonts w:hint="eastAsia" w:ascii="仿宋_GB2312" w:hAnsi="仿宋_GB2312" w:eastAsia="仿宋_GB2312" w:cs="仿宋_GB2312"/>
          <w:color w:val="auto"/>
          <w:kern w:val="0"/>
          <w:sz w:val="32"/>
          <w:szCs w:val="32"/>
          <w:lang w:val="en-US" w:eastAsia="zh-CN"/>
        </w:rPr>
        <w:t>,且满足以下条件之一：取得</w:t>
      </w:r>
      <w:r>
        <w:rPr>
          <w:rFonts w:hint="eastAsia" w:ascii="仿宋_GB2312" w:hAnsi="仿宋_GB2312" w:eastAsia="仿宋_GB2312" w:cs="仿宋_GB2312"/>
          <w:color w:val="auto"/>
          <w:sz w:val="32"/>
          <w:szCs w:val="32"/>
          <w:lang w:val="en-US" w:eastAsia="zh-CN"/>
        </w:rPr>
        <w:t>发明专利（已授权）不少于1项；获得不少于1个国家级或3个省级软件领域优秀成果。</w:t>
      </w:r>
    </w:p>
    <w:p w14:paraId="0117CAD1">
      <w:pPr>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sz w:val="32"/>
          <w:szCs w:val="32"/>
          <w:lang w:val="en-US" w:eastAsia="zh-CN"/>
        </w:rPr>
        <w:t>4.企业</w:t>
      </w:r>
      <w:r>
        <w:rPr>
          <w:rFonts w:hint="eastAsia" w:ascii="仿宋_GB2312" w:hAnsi="仿宋_GB2312" w:eastAsia="仿宋_GB2312" w:cs="仿宋_GB2312"/>
          <w:color w:val="auto"/>
          <w:sz w:val="32"/>
          <w:szCs w:val="32"/>
          <w:lang w:eastAsia="zh-CN"/>
        </w:rPr>
        <w:t>拥有</w:t>
      </w:r>
      <w:r>
        <w:rPr>
          <w:rFonts w:hint="eastAsia" w:ascii="仿宋_GB2312" w:hAnsi="仿宋_GB2312" w:eastAsia="仿宋_GB2312" w:cs="仿宋_GB2312"/>
          <w:color w:val="auto"/>
          <w:sz w:val="32"/>
          <w:szCs w:val="32"/>
          <w:lang w:val="en-US" w:eastAsia="zh-CN"/>
        </w:rPr>
        <w:t>CCRC</w:t>
      </w:r>
      <w:r>
        <w:rPr>
          <w:rFonts w:hint="eastAsia" w:ascii="仿宋_GB2312" w:hAnsi="仿宋_GB2312" w:eastAsia="仿宋_GB2312" w:cs="仿宋_GB2312"/>
          <w:color w:val="auto"/>
          <w:sz w:val="32"/>
          <w:szCs w:val="32"/>
        </w:rPr>
        <w:t>(信息安全服务资质认证)</w:t>
      </w:r>
      <w:r>
        <w:rPr>
          <w:rFonts w:hint="eastAsia" w:ascii="仿宋_GB2312" w:hAnsi="仿宋_GB2312" w:eastAsia="仿宋_GB2312" w:cs="仿宋_GB2312"/>
          <w:color w:val="auto"/>
          <w:sz w:val="32"/>
          <w:szCs w:val="32"/>
          <w:lang w:eastAsia="zh-CN"/>
        </w:rPr>
        <w:t>、CSMM</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CMM/CMMI（能力成熟度模型）、ITSS（信息技术服务标准）、DCMM（数据管理能力成熟度模型）、ISO27001（信息安全管理体系标</w:t>
      </w:r>
      <w:r>
        <w:rPr>
          <w:rFonts w:hint="eastAsia" w:ascii="仿宋_GB2312" w:hAnsi="仿宋_GB2312" w:eastAsia="仿宋_GB2312" w:cs="仿宋_GB2312"/>
          <w:color w:val="auto"/>
          <w:kern w:val="0"/>
          <w:sz w:val="32"/>
          <w:szCs w:val="32"/>
        </w:rPr>
        <w:t>准）、ISO20000（信息技术服务管理体系标准）等资质</w:t>
      </w:r>
      <w:r>
        <w:rPr>
          <w:rFonts w:hint="eastAsia" w:ascii="仿宋_GB2312" w:hAnsi="仿宋_GB2312" w:eastAsia="仿宋_GB2312" w:cs="仿宋_GB2312"/>
          <w:color w:val="auto"/>
          <w:kern w:val="0"/>
          <w:sz w:val="32"/>
          <w:szCs w:val="32"/>
          <w:lang w:eastAsia="zh-CN"/>
        </w:rPr>
        <w:t>之一，或拥有</w:t>
      </w:r>
      <w:r>
        <w:rPr>
          <w:rFonts w:hint="eastAsia" w:ascii="仿宋_GB2312" w:hAnsi="仿宋_GB2312" w:eastAsia="仿宋_GB2312" w:cs="仿宋_GB2312"/>
          <w:color w:val="auto"/>
          <w:kern w:val="0"/>
          <w:sz w:val="32"/>
          <w:szCs w:val="32"/>
        </w:rPr>
        <w:t>省级</w:t>
      </w:r>
      <w:r>
        <w:rPr>
          <w:rFonts w:hint="eastAsia" w:ascii="仿宋_GB2312" w:hAnsi="仿宋_GB2312" w:eastAsia="仿宋_GB2312" w:cs="仿宋_GB2312"/>
          <w:color w:val="auto"/>
          <w:kern w:val="0"/>
          <w:sz w:val="32"/>
          <w:szCs w:val="32"/>
          <w:lang w:val="en-US" w:eastAsia="zh-CN"/>
        </w:rPr>
        <w:t>及</w:t>
      </w:r>
      <w:r>
        <w:rPr>
          <w:rFonts w:hint="eastAsia" w:ascii="仿宋_GB2312" w:hAnsi="仿宋_GB2312" w:eastAsia="仿宋_GB2312" w:cs="仿宋_GB2312"/>
          <w:color w:val="auto"/>
          <w:kern w:val="0"/>
          <w:sz w:val="32"/>
          <w:szCs w:val="32"/>
        </w:rPr>
        <w:t>以上瞪羚、专精特新、单项冠军</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独角兽</w:t>
      </w:r>
      <w:r>
        <w:rPr>
          <w:rFonts w:hint="eastAsia" w:ascii="仿宋_GB2312" w:hAnsi="仿宋_GB2312" w:eastAsia="仿宋_GB2312" w:cs="仿宋_GB2312"/>
          <w:color w:val="auto"/>
          <w:kern w:val="0"/>
          <w:sz w:val="32"/>
          <w:szCs w:val="32"/>
          <w:lang w:val="en-US" w:eastAsia="zh-CN"/>
        </w:rPr>
        <w:t>等荣誉之一。</w:t>
      </w:r>
    </w:p>
    <w:p w14:paraId="4AC34ED7">
      <w:pPr>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kern w:val="0"/>
          <w:sz w:val="32"/>
          <w:szCs w:val="32"/>
          <w:lang w:val="en-US" w:eastAsia="zh-CN" w:bidi="ar-SA"/>
        </w:rPr>
        <w:t>企业具有劳动合同关系或劳务派遣、聘用关系的月平均职工人数达50人及以上，其中</w:t>
      </w:r>
      <w:r>
        <w:rPr>
          <w:rFonts w:hint="eastAsia" w:ascii="仿宋_GB2312" w:hAnsi="仿宋_GB2312" w:eastAsia="仿宋_GB2312" w:cs="仿宋_GB2312"/>
          <w:sz w:val="32"/>
          <w:szCs w:val="32"/>
          <w:lang w:val="en-US" w:eastAsia="zh-CN"/>
        </w:rPr>
        <w:t>具有本科及以上学历的月平均职工人数占企业月平均职工总人数的比例不低于40%，研究开发人员月平均数占企业月平均职工总人数的比例不低于25%</w:t>
      </w:r>
      <w:r>
        <w:rPr>
          <w:rFonts w:hint="eastAsia" w:ascii="仿宋_GB2312" w:hAnsi="仿宋_GB2312" w:eastAsia="仿宋_GB2312" w:cs="仿宋_GB2312"/>
          <w:color w:val="auto"/>
          <w:sz w:val="32"/>
          <w:szCs w:val="32"/>
          <w:lang w:val="en-US" w:eastAsia="zh-CN"/>
        </w:rPr>
        <w:t>。</w:t>
      </w:r>
    </w:p>
    <w:p w14:paraId="3A3A5875">
      <w:pPr>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（三）其他情况</w:t>
      </w:r>
    </w:p>
    <w:p w14:paraId="1EDED3C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申报企业符合基础条件且满足下列条件之一，可不受一般条件约束。</w:t>
      </w:r>
    </w:p>
    <w:p w14:paraId="3FB8D0E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rightChars="0"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1.国家鼓励的重点软件企业。</w:t>
      </w:r>
    </w:p>
    <w:p w14:paraId="345D50B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rightChars="0"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2.近三年企业（非个人）获得软件领域的国家科学技术奖，或省科学技术奖二等奖及以上。</w:t>
      </w:r>
    </w:p>
    <w:p w14:paraId="204F9A8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rightChars="0"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3.国内沪深主板、创业板、科创板、北交所、香港股市上市的软件企业。</w:t>
      </w:r>
    </w:p>
    <w:p w14:paraId="1729D53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rightChars="0"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4.拥有国家认定的软件领域重点实验室、制造业创新中心、技术创新中心、产业创新中心等重大创新平台。</w:t>
      </w:r>
    </w:p>
    <w:p w14:paraId="270FF4D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rightChars="0"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w:t>
      </w:r>
      <w:r>
        <w:rPr>
          <w:rFonts w:hint="eastAsia" w:ascii="仿宋_GB2312" w:hAnsi="仿宋_GB2312" w:eastAsia="仿宋_GB2312" w:cs="仿宋_GB2312"/>
          <w:color w:val="auto"/>
          <w:sz w:val="32"/>
          <w:szCs w:val="32"/>
          <w:lang w:eastAsia="zh-CN"/>
        </w:rPr>
        <w:t>拥有国家</w:t>
      </w:r>
      <w:r>
        <w:rPr>
          <w:rFonts w:hint="eastAsia" w:ascii="仿宋_GB2312" w:hAnsi="仿宋_GB2312" w:eastAsia="仿宋_GB2312" w:cs="仿宋_GB2312"/>
          <w:color w:val="auto"/>
          <w:sz w:val="32"/>
          <w:szCs w:val="32"/>
          <w:lang w:val="en-US" w:eastAsia="zh-CN"/>
        </w:rPr>
        <w:t>层面</w:t>
      </w:r>
      <w:r>
        <w:rPr>
          <w:rFonts w:hint="eastAsia" w:ascii="仿宋_GB2312" w:hAnsi="仿宋_GB2312" w:eastAsia="仿宋_GB2312" w:cs="仿宋_GB2312"/>
          <w:color w:val="auto"/>
          <w:sz w:val="32"/>
          <w:szCs w:val="32"/>
          <w:lang w:eastAsia="zh-CN"/>
        </w:rPr>
        <w:t>认可的信创产品</w:t>
      </w:r>
      <w:r>
        <w:rPr>
          <w:rFonts w:hint="eastAsia" w:ascii="仿宋_GB2312" w:hAnsi="仿宋_GB2312" w:eastAsia="仿宋_GB2312" w:cs="仿宋_GB2312"/>
          <w:color w:val="auto"/>
          <w:kern w:val="2"/>
          <w:sz w:val="32"/>
          <w:szCs w:val="32"/>
          <w:lang w:val="en-US" w:eastAsia="zh-CN" w:bidi="ar-SA"/>
        </w:rPr>
        <w:t>。</w:t>
      </w:r>
    </w:p>
    <w:p w14:paraId="65D43B6F">
      <w:pPr>
        <w:keepNext w:val="0"/>
        <w:keepLines w:val="0"/>
        <w:pageBreakBefore w:val="0"/>
        <w:widowControl w:val="0"/>
        <w:kinsoku/>
        <w:wordWrap/>
        <w:overflowPunct/>
        <w:topLinePunct w:val="0"/>
        <w:bidi w:val="0"/>
        <w:adjustRightInd w:val="0"/>
        <w:snapToGrid w:val="0"/>
        <w:spacing w:line="360" w:lineRule="auto"/>
        <w:ind w:left="0" w:leftChars="0" w:right="0"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6.拥有软件领域的院士、长江学者等国家级高层次人才或者泰山产业领军人才、泰山学者等省级高层次人才担任技术带头人，实际</w:t>
      </w:r>
      <w:r>
        <w:rPr>
          <w:rFonts w:hint="eastAsia" w:ascii="仿宋_GB2312" w:hAnsi="仿宋_GB2312" w:eastAsia="仿宋_GB2312" w:cs="仿宋_GB2312"/>
          <w:color w:val="auto"/>
          <w:sz w:val="32"/>
          <w:szCs w:val="32"/>
          <w:lang w:val="en-US" w:eastAsia="zh-CN"/>
        </w:rPr>
        <w:t>工作满两年以上。</w:t>
      </w:r>
    </w:p>
    <w:p w14:paraId="2F71B6B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rightChars="0" w:firstLine="640" w:firstLineChars="200"/>
        <w:jc w:val="left"/>
        <w:textAlignment w:val="auto"/>
        <w:rPr>
          <w:rFonts w:hint="eastAsia" w:ascii="仿宋_GB2312" w:hAnsi="黑体" w:eastAsia="仿宋_GB2312" w:cs="黑体"/>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7.近三年年均服务软件</w:t>
      </w:r>
      <w:r>
        <w:rPr>
          <w:rFonts w:hint="eastAsia" w:ascii="仿宋_GB2312" w:hAnsi="黑体" w:eastAsia="仿宋_GB2312" w:cs="黑体"/>
          <w:color w:val="auto"/>
          <w:sz w:val="32"/>
          <w:szCs w:val="32"/>
        </w:rPr>
        <w:t>企业</w:t>
      </w:r>
      <w:r>
        <w:rPr>
          <w:rFonts w:hint="eastAsia" w:ascii="仿宋_GB2312" w:hAnsi="黑体" w:eastAsia="仿宋_GB2312" w:cs="黑体"/>
          <w:color w:val="auto"/>
          <w:sz w:val="32"/>
          <w:szCs w:val="32"/>
          <w:lang w:val="en-US" w:eastAsia="zh-CN"/>
        </w:rPr>
        <w:t>1</w:t>
      </w:r>
      <w:r>
        <w:rPr>
          <w:rFonts w:hint="eastAsia" w:ascii="仿宋_GB2312" w:hAnsi="黑体" w:eastAsia="仿宋_GB2312" w:cs="黑体"/>
          <w:color w:val="auto"/>
          <w:sz w:val="32"/>
          <w:szCs w:val="32"/>
        </w:rPr>
        <w:t>0家以上</w:t>
      </w:r>
      <w:r>
        <w:rPr>
          <w:rFonts w:hint="eastAsia" w:ascii="仿宋_GB2312" w:hAnsi="黑体" w:eastAsia="仿宋_GB2312" w:cs="黑体"/>
          <w:color w:val="auto"/>
          <w:sz w:val="32"/>
          <w:szCs w:val="32"/>
          <w:lang w:eastAsia="zh-CN"/>
        </w:rPr>
        <w:t>，且</w:t>
      </w:r>
      <w:r>
        <w:rPr>
          <w:rFonts w:hint="eastAsia" w:ascii="仿宋_GB2312" w:hAnsi="仿宋_GB2312" w:eastAsia="仿宋_GB2312" w:cs="仿宋_GB2312"/>
          <w:color w:val="auto"/>
          <w:kern w:val="2"/>
          <w:sz w:val="32"/>
          <w:szCs w:val="32"/>
          <w:lang w:val="en-US" w:eastAsia="zh-CN" w:bidi="ar-SA"/>
        </w:rPr>
        <w:t>产品（含解决方案）20个以上的</w:t>
      </w:r>
      <w:r>
        <w:rPr>
          <w:rFonts w:hint="eastAsia" w:ascii="仿宋_GB2312" w:hAnsi="仿宋_GB2312" w:eastAsia="仿宋_GB2312" w:cs="仿宋_GB2312"/>
          <w:color w:val="auto"/>
          <w:sz w:val="32"/>
          <w:szCs w:val="32"/>
          <w:lang w:val="en-US" w:eastAsia="zh-CN"/>
        </w:rPr>
        <w:t>信创产业适配中心</w:t>
      </w:r>
      <w:r>
        <w:rPr>
          <w:rFonts w:hint="eastAsia" w:ascii="仿宋_GB2312" w:hAnsi="黑体" w:eastAsia="仿宋_GB2312" w:cs="黑体"/>
          <w:color w:val="auto"/>
          <w:sz w:val="32"/>
          <w:szCs w:val="32"/>
          <w:lang w:val="en-US" w:eastAsia="zh-CN"/>
        </w:rPr>
        <w:t>。</w:t>
      </w:r>
    </w:p>
    <w:p w14:paraId="109456C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rightChars="0" w:firstLine="640" w:firstLineChars="200"/>
        <w:jc w:val="left"/>
        <w:textAlignment w:val="auto"/>
        <w:rPr>
          <w:rFonts w:hint="eastAsia" w:ascii="仿宋_GB2312" w:hAnsi="黑体" w:eastAsia="仿宋_GB2312" w:cs="黑体"/>
          <w:color w:val="auto"/>
          <w:sz w:val="32"/>
          <w:szCs w:val="32"/>
          <w:lang w:val="en-US" w:eastAsia="zh-CN"/>
        </w:rPr>
      </w:pPr>
      <w:r>
        <w:rPr>
          <w:rFonts w:hint="eastAsia" w:ascii="仿宋_GB2312" w:hAnsi="黑体" w:eastAsia="仿宋_GB2312" w:cs="黑体"/>
          <w:color w:val="auto"/>
          <w:sz w:val="32"/>
          <w:szCs w:val="32"/>
          <w:lang w:val="en-US" w:eastAsia="zh-CN"/>
        </w:rPr>
        <w:t>8.近三年作为主要单位承担软件领域</w:t>
      </w:r>
      <w:r>
        <w:rPr>
          <w:rFonts w:hint="eastAsia" w:ascii="仿宋_GB2312" w:hAnsi="黑体" w:eastAsia="仿宋_GB2312" w:cs="黑体"/>
          <w:color w:val="auto"/>
          <w:sz w:val="32"/>
          <w:szCs w:val="32"/>
        </w:rPr>
        <w:t>国家级重大项目</w:t>
      </w:r>
      <w:r>
        <w:rPr>
          <w:rFonts w:hint="eastAsia" w:ascii="仿宋_GB2312" w:hAnsi="黑体" w:eastAsia="仿宋_GB2312" w:cs="黑体"/>
          <w:color w:val="auto"/>
          <w:sz w:val="32"/>
          <w:szCs w:val="32"/>
          <w:lang w:val="en-US" w:eastAsia="zh-CN"/>
        </w:rPr>
        <w:t>。</w:t>
      </w:r>
    </w:p>
    <w:p w14:paraId="23F11CAD">
      <w:pPr>
        <w:ind w:firstLine="640" w:firstLineChars="200"/>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注：以上内容节选自《山东省软件工程技术中心培育认定办法》。</w:t>
      </w:r>
    </w:p>
    <w:p w14:paraId="17FDFCAA">
      <w:pPr>
        <w:ind w:firstLine="640" w:firstLineChars="200"/>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另：2025年组织对2022年认定的中心进行了复核，部分中心被撤销资格。被撤销资格的，自撤销之日起，两年内不得申请省级软件工程技术中心。</w:t>
      </w:r>
      <w:bookmarkStart w:id="0" w:name="_GoBack"/>
      <w:bookmarkEnd w:id="0"/>
    </w:p>
    <w:p w14:paraId="58D32C74">
      <w:pPr>
        <w:pStyle w:val="3"/>
        <w:rPr>
          <w:rFonts w:hint="eastAsia" w:ascii="仿宋_GB2312" w:hAnsi="仿宋_GB2312" w:eastAsia="仿宋_GB2312" w:cs="仿宋_GB2312"/>
          <w:b w:val="0"/>
          <w:bCs w:val="0"/>
          <w:color w:val="auto"/>
          <w:kern w:val="0"/>
          <w:sz w:val="32"/>
          <w:szCs w:val="32"/>
          <w:lang w:val="en-US" w:eastAsia="zh-CN" w:bidi="ar-SA"/>
        </w:rPr>
      </w:pPr>
    </w:p>
    <w:p w14:paraId="39FC49A7">
      <w:pPr>
        <w:pStyle w:val="4"/>
        <w:rPr>
          <w:rFonts w:hint="eastAsia" w:ascii="仿宋_GB2312" w:hAnsi="仿宋_GB2312" w:eastAsia="仿宋_GB2312" w:cs="仿宋_GB2312"/>
          <w:b w:val="0"/>
          <w:bCs w:val="0"/>
          <w:color w:val="auto"/>
          <w:kern w:val="0"/>
          <w:sz w:val="32"/>
          <w:szCs w:val="32"/>
          <w:lang w:val="en-US" w:eastAsia="zh-CN" w:bidi="ar-SA"/>
        </w:rPr>
      </w:pPr>
    </w:p>
    <w:p w14:paraId="290E06F0">
      <w:pPr>
        <w:rPr>
          <w:rFonts w:hint="eastAsia" w:ascii="仿宋_GB2312" w:hAnsi="仿宋_GB2312" w:eastAsia="仿宋_GB2312" w:cs="仿宋_GB2312"/>
          <w:b w:val="0"/>
          <w:bCs w:val="0"/>
          <w:color w:val="auto"/>
          <w:kern w:val="0"/>
          <w:sz w:val="32"/>
          <w:szCs w:val="32"/>
          <w:lang w:val="en-US" w:eastAsia="zh-CN" w:bidi="ar-SA"/>
        </w:rPr>
      </w:pPr>
    </w:p>
    <w:p w14:paraId="461B615F">
      <w:pPr>
        <w:pStyle w:val="3"/>
        <w:rPr>
          <w:rFonts w:hint="eastAsia" w:ascii="仿宋_GB2312" w:hAnsi="仿宋_GB2312" w:eastAsia="仿宋_GB2312" w:cs="仿宋_GB2312"/>
          <w:b w:val="0"/>
          <w:bCs w:val="0"/>
          <w:color w:val="auto"/>
          <w:kern w:val="0"/>
          <w:sz w:val="32"/>
          <w:szCs w:val="32"/>
          <w:lang w:val="en-US" w:eastAsia="zh-CN" w:bidi="ar-SA"/>
        </w:rPr>
      </w:pPr>
    </w:p>
    <w:p w14:paraId="647F87D8">
      <w:pPr>
        <w:pStyle w:val="4"/>
        <w:rPr>
          <w:rFonts w:hint="eastAsia" w:ascii="仿宋_GB2312" w:hAnsi="仿宋_GB2312" w:eastAsia="仿宋_GB2312" w:cs="仿宋_GB2312"/>
          <w:b w:val="0"/>
          <w:bCs w:val="0"/>
          <w:color w:val="auto"/>
          <w:kern w:val="0"/>
          <w:sz w:val="32"/>
          <w:szCs w:val="32"/>
          <w:lang w:val="en-US" w:eastAsia="zh-CN" w:bidi="ar-SA"/>
        </w:rPr>
      </w:pPr>
    </w:p>
    <w:p w14:paraId="057CFAA4">
      <w:pPr>
        <w:rPr>
          <w:rFonts w:hint="default" w:ascii="仿宋_GB2312" w:hAnsi="仿宋_GB2312" w:eastAsia="仿宋_GB2312" w:cs="仿宋_GB2312"/>
          <w:sz w:val="32"/>
          <w:szCs w:val="32"/>
          <w:lang w:val="en-US" w:eastAsia="zh-CN"/>
        </w:rPr>
      </w:pPr>
    </w:p>
    <w:tbl>
      <w:tblPr>
        <w:tblStyle w:val="10"/>
        <w:tblW w:w="8388" w:type="dxa"/>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108" w:type="dxa"/>
          <w:bottom w:w="0" w:type="dxa"/>
          <w:right w:w="108" w:type="dxa"/>
        </w:tblCellMar>
      </w:tblPr>
      <w:tblGrid>
        <w:gridCol w:w="4436"/>
        <w:gridCol w:w="3952"/>
      </w:tblGrid>
      <w:tr w14:paraId="4A0A38D1">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576" w:hRule="atLeast"/>
          <w:jc w:val="center"/>
        </w:trPr>
        <w:tc>
          <w:tcPr>
            <w:tcW w:w="4436" w:type="dxa"/>
            <w:tcBorders>
              <w:right w:val="nil"/>
            </w:tcBorders>
            <w:vAlign w:val="center"/>
          </w:tcPr>
          <w:p w14:paraId="5D20EB9A">
            <w:pPr>
              <w:tabs>
                <w:tab w:val="left" w:pos="1140"/>
              </w:tabs>
              <w:rPr>
                <w:rFonts w:hint="eastAsia" w:ascii="仿宋" w:hAnsi="仿宋" w:eastAsia="仿宋" w:cs="仿宋"/>
                <w:spacing w:val="-20"/>
                <w:w w:val="90"/>
                <w:sz w:val="28"/>
                <w:szCs w:val="28"/>
              </w:rPr>
            </w:pPr>
            <w:r>
              <w:rPr>
                <w:rFonts w:hint="eastAsia" w:ascii="仿宋" w:hAnsi="仿宋" w:eastAsia="仿宋" w:cs="仿宋"/>
                <w:spacing w:val="-20"/>
                <w:sz w:val="28"/>
                <w:szCs w:val="28"/>
                <w:lang w:eastAsia="zh-CN"/>
              </w:rPr>
              <w:t>山东省工业和信息化厅办公室</w:t>
            </w:r>
          </w:p>
        </w:tc>
        <w:tc>
          <w:tcPr>
            <w:tcW w:w="3952" w:type="dxa"/>
            <w:tcBorders>
              <w:left w:val="nil"/>
            </w:tcBorders>
            <w:vAlign w:val="center"/>
          </w:tcPr>
          <w:p w14:paraId="2D1B7EB6">
            <w:pPr>
              <w:tabs>
                <w:tab w:val="left" w:pos="1140"/>
              </w:tabs>
              <w:ind w:right="640"/>
              <w:jc w:val="right"/>
              <w:rPr>
                <w:rFonts w:hint="eastAsia" w:ascii="仿宋" w:hAnsi="仿宋" w:eastAsia="仿宋" w:cs="仿宋"/>
                <w:spacing w:val="-20"/>
                <w:sz w:val="28"/>
                <w:szCs w:val="28"/>
              </w:rPr>
            </w:pPr>
            <w:r>
              <w:rPr>
                <w:rFonts w:hint="eastAsia" w:ascii="仿宋" w:hAnsi="仿宋" w:eastAsia="仿宋" w:cs="仿宋"/>
                <w:spacing w:val="-20"/>
                <w:sz w:val="28"/>
                <w:szCs w:val="28"/>
                <w:lang w:eastAsia="zh"/>
              </w:rPr>
              <w:t>202</w:t>
            </w:r>
            <w:r>
              <w:rPr>
                <w:rFonts w:hint="eastAsia" w:ascii="仿宋" w:hAnsi="仿宋" w:eastAsia="仿宋" w:cs="仿宋"/>
                <w:spacing w:val="-20"/>
                <w:sz w:val="28"/>
                <w:szCs w:val="28"/>
                <w:lang w:val="en-US" w:eastAsia="zh-CN"/>
              </w:rPr>
              <w:t>6</w:t>
            </w:r>
            <w:r>
              <w:rPr>
                <w:rFonts w:hint="eastAsia" w:ascii="仿宋" w:hAnsi="仿宋" w:eastAsia="仿宋" w:cs="仿宋"/>
                <w:spacing w:val="-20"/>
                <w:sz w:val="28"/>
                <w:szCs w:val="28"/>
              </w:rPr>
              <w:t>年</w:t>
            </w:r>
            <w:r>
              <w:rPr>
                <w:rFonts w:hint="eastAsia" w:ascii="仿宋" w:hAnsi="仿宋" w:eastAsia="仿宋" w:cs="仿宋"/>
                <w:spacing w:val="-20"/>
                <w:sz w:val="28"/>
                <w:szCs w:val="28"/>
                <w:lang w:val="en-US" w:eastAsia="zh-CN"/>
              </w:rPr>
              <w:t>9</w:t>
            </w:r>
            <w:r>
              <w:rPr>
                <w:rFonts w:hint="eastAsia" w:ascii="仿宋" w:hAnsi="仿宋" w:eastAsia="仿宋" w:cs="仿宋"/>
                <w:spacing w:val="-20"/>
                <w:sz w:val="28"/>
                <w:szCs w:val="28"/>
              </w:rPr>
              <w:t>月</w:t>
            </w:r>
            <w:r>
              <w:rPr>
                <w:rFonts w:hint="eastAsia" w:ascii="仿宋" w:hAnsi="仿宋" w:eastAsia="仿宋" w:cs="仿宋"/>
                <w:spacing w:val="-20"/>
                <w:sz w:val="28"/>
                <w:szCs w:val="28"/>
                <w:lang w:val="en-US" w:eastAsia="zh-CN"/>
              </w:rPr>
              <w:t>17</w:t>
            </w:r>
            <w:r>
              <w:rPr>
                <w:rFonts w:hint="eastAsia" w:ascii="仿宋" w:hAnsi="仿宋" w:eastAsia="仿宋" w:cs="仿宋"/>
                <w:spacing w:val="-20"/>
                <w:sz w:val="28"/>
                <w:szCs w:val="28"/>
              </w:rPr>
              <w:t>日印发</w:t>
            </w:r>
          </w:p>
        </w:tc>
      </w:tr>
    </w:tbl>
    <w:p w14:paraId="56BD8153">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360" w:lineRule="auto"/>
        <w:ind w:left="0" w:leftChars="0" w:right="0" w:rightChars="0" w:firstLine="640" w:firstLineChars="200"/>
        <w:jc w:val="left"/>
        <w:textAlignment w:val="auto"/>
        <w:rPr>
          <w:rFonts w:hint="default" w:ascii="仿宋_GB2312" w:hAnsi="黑体" w:eastAsia="仿宋_GB2312" w:cs="黑体"/>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B3F"/>
    <w:rsid w:val="00015B3F"/>
    <w:rsid w:val="00062339"/>
    <w:rsid w:val="000A409C"/>
    <w:rsid w:val="000F048B"/>
    <w:rsid w:val="00111958"/>
    <w:rsid w:val="00144F1D"/>
    <w:rsid w:val="0016595B"/>
    <w:rsid w:val="001E62F7"/>
    <w:rsid w:val="00225BAF"/>
    <w:rsid w:val="00255EF3"/>
    <w:rsid w:val="00301A9B"/>
    <w:rsid w:val="003079A9"/>
    <w:rsid w:val="00371715"/>
    <w:rsid w:val="004005A1"/>
    <w:rsid w:val="004138AD"/>
    <w:rsid w:val="004450AE"/>
    <w:rsid w:val="00464391"/>
    <w:rsid w:val="0047526F"/>
    <w:rsid w:val="005167E8"/>
    <w:rsid w:val="00560F1A"/>
    <w:rsid w:val="006867D7"/>
    <w:rsid w:val="0075182A"/>
    <w:rsid w:val="00752F85"/>
    <w:rsid w:val="007601A6"/>
    <w:rsid w:val="00773C3B"/>
    <w:rsid w:val="007A23F6"/>
    <w:rsid w:val="007E72F0"/>
    <w:rsid w:val="00875638"/>
    <w:rsid w:val="00880771"/>
    <w:rsid w:val="00890948"/>
    <w:rsid w:val="00892E04"/>
    <w:rsid w:val="008960E6"/>
    <w:rsid w:val="008A6ADF"/>
    <w:rsid w:val="008C4DE7"/>
    <w:rsid w:val="009708DB"/>
    <w:rsid w:val="00973F09"/>
    <w:rsid w:val="009D294F"/>
    <w:rsid w:val="00A72AEF"/>
    <w:rsid w:val="00A95640"/>
    <w:rsid w:val="00AD550D"/>
    <w:rsid w:val="00AE45CB"/>
    <w:rsid w:val="00C27650"/>
    <w:rsid w:val="00C63501"/>
    <w:rsid w:val="00C766CC"/>
    <w:rsid w:val="00C96551"/>
    <w:rsid w:val="00CC7404"/>
    <w:rsid w:val="00CF1D52"/>
    <w:rsid w:val="00D170CE"/>
    <w:rsid w:val="00DC7ABB"/>
    <w:rsid w:val="00DF429C"/>
    <w:rsid w:val="00E42B09"/>
    <w:rsid w:val="00E47BE9"/>
    <w:rsid w:val="00E67C86"/>
    <w:rsid w:val="00E77818"/>
    <w:rsid w:val="00FA7A76"/>
    <w:rsid w:val="00FD178A"/>
    <w:rsid w:val="00FE0AE6"/>
    <w:rsid w:val="01C04E4F"/>
    <w:rsid w:val="06FE4050"/>
    <w:rsid w:val="07CA335B"/>
    <w:rsid w:val="07E32662"/>
    <w:rsid w:val="08CD3FF8"/>
    <w:rsid w:val="091302AF"/>
    <w:rsid w:val="147470FC"/>
    <w:rsid w:val="1776182C"/>
    <w:rsid w:val="1ADDD7DC"/>
    <w:rsid w:val="1D2C197F"/>
    <w:rsid w:val="1ED00A6F"/>
    <w:rsid w:val="1FAB7262"/>
    <w:rsid w:val="1FFF9739"/>
    <w:rsid w:val="211D0BDF"/>
    <w:rsid w:val="26931FB2"/>
    <w:rsid w:val="28E052C6"/>
    <w:rsid w:val="292CAE91"/>
    <w:rsid w:val="2B3A08A4"/>
    <w:rsid w:val="2FBE0CE5"/>
    <w:rsid w:val="35677909"/>
    <w:rsid w:val="35A04BBF"/>
    <w:rsid w:val="39DE700F"/>
    <w:rsid w:val="3C910A1D"/>
    <w:rsid w:val="3D0026BE"/>
    <w:rsid w:val="3DF40390"/>
    <w:rsid w:val="3E265E94"/>
    <w:rsid w:val="3FDB7C09"/>
    <w:rsid w:val="418039C6"/>
    <w:rsid w:val="41FF1C3F"/>
    <w:rsid w:val="42745BF2"/>
    <w:rsid w:val="4662093E"/>
    <w:rsid w:val="4BFBD264"/>
    <w:rsid w:val="4CFF5BD3"/>
    <w:rsid w:val="56163FF5"/>
    <w:rsid w:val="57C5A667"/>
    <w:rsid w:val="57CF8078"/>
    <w:rsid w:val="593F2AF1"/>
    <w:rsid w:val="59E047B8"/>
    <w:rsid w:val="5B2F2F6A"/>
    <w:rsid w:val="5CBFF8FD"/>
    <w:rsid w:val="5D674389"/>
    <w:rsid w:val="5E753E44"/>
    <w:rsid w:val="6127036A"/>
    <w:rsid w:val="625A5492"/>
    <w:rsid w:val="66D90F0D"/>
    <w:rsid w:val="72737B91"/>
    <w:rsid w:val="74A956B1"/>
    <w:rsid w:val="75C40E9D"/>
    <w:rsid w:val="777774B2"/>
    <w:rsid w:val="77BE6D2A"/>
    <w:rsid w:val="78414C61"/>
    <w:rsid w:val="794E491F"/>
    <w:rsid w:val="7BAFA39D"/>
    <w:rsid w:val="7C784C30"/>
    <w:rsid w:val="7DCF97D3"/>
    <w:rsid w:val="7DD22B49"/>
    <w:rsid w:val="7DD7C295"/>
    <w:rsid w:val="7E225537"/>
    <w:rsid w:val="7F0F1A78"/>
    <w:rsid w:val="7F5E6B0F"/>
    <w:rsid w:val="7F8FA732"/>
    <w:rsid w:val="A7B94B76"/>
    <w:rsid w:val="AFEF650F"/>
    <w:rsid w:val="BBBF5BC8"/>
    <w:rsid w:val="BD7D6136"/>
    <w:rsid w:val="CE85BE0F"/>
    <w:rsid w:val="D37D41B8"/>
    <w:rsid w:val="DB4FD22B"/>
    <w:rsid w:val="DCF74F3F"/>
    <w:rsid w:val="DD5E776E"/>
    <w:rsid w:val="DF2F18D4"/>
    <w:rsid w:val="DFF74CEE"/>
    <w:rsid w:val="E3C6BAAF"/>
    <w:rsid w:val="E7BF53F4"/>
    <w:rsid w:val="E9FB93E8"/>
    <w:rsid w:val="EFED31B4"/>
    <w:rsid w:val="F7DE5D4A"/>
    <w:rsid w:val="FBFB9D6C"/>
    <w:rsid w:val="FDD3F7E0"/>
    <w:rsid w:val="FDD7F768"/>
    <w:rsid w:val="FE7FF4BD"/>
    <w:rsid w:val="FF7FD885"/>
    <w:rsid w:val="FFA2D98E"/>
    <w:rsid w:val="FFBF65CB"/>
    <w:rsid w:val="FFD3D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next w:val="4"/>
    <w:qFormat/>
    <w:uiPriority w:val="0"/>
    <w:pPr>
      <w:jc w:val="center"/>
    </w:pPr>
    <w:rPr>
      <w:rFonts w:ascii="等线" w:hAnsi="等线" w:eastAsia="华文中宋"/>
      <w:b/>
      <w:sz w:val="44"/>
      <w:szCs w:val="20"/>
    </w:rPr>
  </w:style>
  <w:style w:type="paragraph" w:styleId="4">
    <w:name w:val="Body Text First Indent 2"/>
    <w:basedOn w:val="5"/>
    <w:next w:val="1"/>
    <w:unhideWhenUsed/>
    <w:qFormat/>
    <w:uiPriority w:val="0"/>
    <w:pPr>
      <w:tabs>
        <w:tab w:val="center" w:pos="4153"/>
        <w:tab w:val="right" w:pos="8306"/>
      </w:tabs>
      <w:ind w:firstLine="420" w:firstLineChars="200"/>
    </w:pPr>
  </w:style>
  <w:style w:type="paragraph" w:styleId="5">
    <w:name w:val="Body Text Indent"/>
    <w:basedOn w:val="1"/>
    <w:next w:val="6"/>
    <w:unhideWhenUsed/>
    <w:qFormat/>
    <w:uiPriority w:val="99"/>
    <w:pPr>
      <w:spacing w:after="120"/>
      <w:ind w:left="420" w:leftChars="200"/>
    </w:p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Plain Text"/>
    <w:basedOn w:val="1"/>
    <w:qFormat/>
    <w:uiPriority w:val="0"/>
    <w:rPr>
      <w:rFonts w:ascii="宋体" w:hAnsi="Courier New" w:cs="Courier New"/>
      <w:szCs w:val="21"/>
    </w:rPr>
  </w:style>
  <w:style w:type="paragraph" w:styleId="8">
    <w:name w:val="footer"/>
    <w:basedOn w:val="1"/>
    <w:link w:val="15"/>
    <w:unhideWhenUsed/>
    <w:qFormat/>
    <w:uiPriority w:val="0"/>
    <w:pPr>
      <w:tabs>
        <w:tab w:val="center" w:pos="4153"/>
        <w:tab w:val="right" w:pos="8306"/>
      </w:tabs>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page number"/>
    <w:qFormat/>
    <w:uiPriority w:val="0"/>
  </w:style>
  <w:style w:type="character" w:styleId="13">
    <w:name w:val="Hyperlink"/>
    <w:basedOn w:val="11"/>
    <w:qFormat/>
    <w:uiPriority w:val="0"/>
    <w:rPr>
      <w:color w:val="0000FF"/>
      <w:u w:val="single"/>
    </w:rPr>
  </w:style>
  <w:style w:type="character" w:customStyle="1" w:styleId="14">
    <w:name w:val="页眉 Char"/>
    <w:basedOn w:val="11"/>
    <w:link w:val="6"/>
    <w:qFormat/>
    <w:uiPriority w:val="99"/>
    <w:rPr>
      <w:sz w:val="18"/>
      <w:szCs w:val="18"/>
    </w:rPr>
  </w:style>
  <w:style w:type="character" w:customStyle="1" w:styleId="15">
    <w:name w:val="页脚 Char"/>
    <w:basedOn w:val="11"/>
    <w:link w:val="8"/>
    <w:qFormat/>
    <w:uiPriority w:val="99"/>
    <w:rPr>
      <w:sz w:val="18"/>
      <w:szCs w:val="18"/>
    </w:rPr>
  </w:style>
  <w:style w:type="character" w:customStyle="1" w:styleId="16">
    <w:name w:val="font41"/>
    <w:basedOn w:val="11"/>
    <w:qFormat/>
    <w:uiPriority w:val="0"/>
    <w:rPr>
      <w:rFonts w:hint="eastAsia" w:ascii="仿宋_GB2312" w:eastAsia="仿宋_GB2312" w:cs="仿宋_GB2312"/>
      <w:color w:val="000000"/>
      <w:sz w:val="24"/>
      <w:szCs w:val="24"/>
      <w:u w:val="none"/>
    </w:rPr>
  </w:style>
  <w:style w:type="character" w:customStyle="1" w:styleId="17">
    <w:name w:val="font6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hint="eastAsia" w:ascii="仿宋_GB2312" w:eastAsia="仿宋_GB2312" w:cs="仿宋_GB2312"/>
      <w:color w:val="000000"/>
      <w:sz w:val="24"/>
      <w:szCs w:val="24"/>
      <w:u w:val="none"/>
    </w:rPr>
  </w:style>
  <w:style w:type="character" w:customStyle="1" w:styleId="19">
    <w:name w:val="font81"/>
    <w:basedOn w:val="11"/>
    <w:qFormat/>
    <w:uiPriority w:val="0"/>
    <w:rPr>
      <w:rFonts w:hint="eastAsia" w:ascii="仿宋_GB2312" w:eastAsia="仿宋_GB2312" w:cs="仿宋_GB2312"/>
      <w:color w:val="000000"/>
      <w:sz w:val="24"/>
      <w:szCs w:val="24"/>
      <w:u w:val="none"/>
    </w:rPr>
  </w:style>
  <w:style w:type="paragraph" w:customStyle="1" w:styleId="20">
    <w:name w:val="CM4"/>
    <w:basedOn w:val="1"/>
    <w:next w:val="1"/>
    <w:qFormat/>
    <w:uiPriority w:val="99"/>
    <w:pPr>
      <w:autoSpaceDE w:val="0"/>
      <w:autoSpaceDN w:val="0"/>
      <w:adjustRightInd w:val="0"/>
      <w:spacing w:line="560" w:lineRule="atLeast"/>
      <w:jc w:val="left"/>
    </w:pPr>
    <w:rPr>
      <w:rFonts w:ascii="Arial Unicode MS" w:eastAsia="Arial Unicode MS" w:cs="Arial Unicode MS"/>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837</Words>
  <Characters>898</Characters>
  <Lines>0</Lines>
  <Paragraphs>0</Paragraphs>
  <TotalTime>1</TotalTime>
  <ScaleCrop>false</ScaleCrop>
  <LinksUpToDate>false</LinksUpToDate>
  <CharactersWithSpaces>902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2020-11-20T00:08:00Z</dcterms:created>
  <dc:creator>刘超</dc:creator>
  <cp:lastModifiedBy>习惯</cp:lastModifiedBy>
  <cp:lastPrinted>2022-04-17T03:00:00Z</cp:lastPrinted>
  <dcterms:modified xsi:type="dcterms:W3CDTF">2026-09-17T00:54:12Z</dcterms:modified>
  <dc:title>山东省工业和信息化厅文件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eyJoZGlkIjoiYWViZWRiMTQzN2E1YWJjOWM5OWU4NjhkNmVjZDlmZjEiLCJ1c2VySWQiOiI2ODgxMTEzNDEifQ==</vt:lpwstr>
  </property>
  <property fmtid="{D5CDD505-2E9C-101B-9397-08002B2CF9AE}" pid="4" name="ICV">
    <vt:lpwstr>E44346EBC4A04B30A1239A4B66A74897_12</vt:lpwstr>
  </property>
</Properties>
</file>