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关于印发《山东省民营经济高质量发展</w:t>
      </w:r>
    </w:p>
    <w:p>
      <w:pPr>
        <w:widowControl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2021年行动方案》的通知</w:t>
      </w:r>
    </w:p>
    <w:p>
      <w:pPr>
        <w:pStyle w:val="3"/>
        <w:spacing w:after="156" w:afterLines="50" w:line="40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非公组发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widowControl w:val="0"/>
        <w:adjustRightInd/>
        <w:snapToGrid/>
        <w:spacing w:line="600" w:lineRule="exact"/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  <w:lang w:eastAsia="zh-CN"/>
        </w:rPr>
        <w:t>各市促进非公有制经济发展工作领导小组，省促进非公有制经济发展工作领导小组各成员单位，省政府有关部门：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现将《山东省民营经济高质量发展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年行动方案》印发给你们，请结合实际，抓好贯彻落实。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山东省促进非公有制经济发展工作领导小组</w:t>
      </w:r>
    </w:p>
    <w:p>
      <w:pPr>
        <w:pStyle w:val="2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山东省民营经济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发展2021年行动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方案</w:t>
      </w:r>
    </w:p>
    <w:p>
      <w:pPr>
        <w:pStyle w:val="2"/>
        <w:spacing w:line="600" w:lineRule="exact"/>
        <w:rPr>
          <w:rFonts w:hint="eastAsia"/>
          <w:color w:val="auto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党中央、国务院决策部署和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省委、省政府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聚力突破当前制约民营经济高质量发展的突出问题，制定山东省民营经济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发展2021年行动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一、推动惠企政策“一键匹配”。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扩展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民营企业综合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功能，利用云计算、大数据等技术汇集打造惠企政策库，应用社保、市场监管、税务等部门数据建立企业评估评级模型，通过政策整合、数据挖掘、企业画像，推动政策与企业智能匹配，平台“一口发布”惠企政策，企业“一键获取”关键信息，对普惠政策实现精准推送、免申即享，对竞争性政策实现一次申报、全程网办、快速兑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落实好《落实“六稳”“六保”促进高质量发展政策清单（第二批）》（鲁政发〔2021〕4号）提出的增值税小规模纳税人免征房产税、城镇土地使用税政策的执行期限延长，小规模纳税人增值税起征点提高，小微企业和个体工商户所得税优惠，中小微企业新吸纳劳动者就业以工代训补贴等惠企政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汇聚优质服务商资源，组建省普惠中小企业公共服务中心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，省市县三级联动服务企业需求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（责任单位：省工业和信息化厅、省财政厅、省人力资源社会保障厅、省市场监管局、省大数据局、省税务局）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、培育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专精特新“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小巨人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企业。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围绕工业“四基”领域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制造业强国战略十大重点产业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，用好中央财政奖补资金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培育一批专注细分市场、聚焦主业、创新能力强、成长性好的专精特新“小巨人”企业。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举办首届中国瞪羚高端峰会，依托高校、商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协会、头部瞪羚企业筹建瞪羚商学院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，汇集发展急需的战略投资者和高端服务商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实施优质中小企业成长帮扶机制，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围绕小升规、瞪羚、独角兽和“专精特新”等高成长企业，针对人才培养引进、科技研发和数字化转型等方面的需求，逐企设立问题台账分级负责帮扶，组织共性问题专项对接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对符合新旧动能转换政策要求、年销售收入首次突破100亿元、500亿元、1000亿元的民营企业，省级财政分别一次性奖励100万元、300万元、500万元。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2021年，新培育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“专精特新”中小企业300家、瞪羚企业150家、独角兽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3家、国家专精特新“小巨人”企业100家左右。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、省财政厅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三、实施“万名数字专员进企业”行动。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坚持市场化原则，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省市县三级筛选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数字专员，组建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数字专员顾问团，提供专业化“顾问+雇员”式服务，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逐企开展数字化问诊，推动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解决企业数字化网络化智能化转型难题。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在装备制造、纺织等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实施传统制造装备联网、关键工序数控化等数字化改造，建设智能车间、智能工厂。聚焦高能耗、高风险、高通用性、高价值设备，实施化工装置、工业锅炉、炼铁锅炉、智能装备等11类工业设备上云，通过公有云、私有云、混合云等多种形式，实现泛在互联、数据共享、高效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快实施省级工业互联网创新发展工程，支持我省国家级跨行业跨领域工业互联网平台，与纺织、机械、化工、食品等重点行业共建专业性子平台，面向全产业链供应链建设大宗原材料、装备、电子信息、消费品等重点工业行业电子商务平台，对建设成效显著、电子商务交易额领先、服务中小企业数量居前的平台，纳入工业互联网财政支持政策范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培育数字专员2000名、对接服务中小企业20万家的阶段性目标。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省发展改革委、省科技厅、省财政厅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“山东制造·网行天下”行动。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优质工业品严选计划，围绕机械装备、纺织服装、家装建材、电力电缆、食品等重点产业领域及特色产业集群，甄选1000家制造业企业，“一企一策”制定网络营销方案，打造1000个适用于电商市场的爆款产品。精准分析网络点击热点信息，针对我省产品主销区域、热点行业，开展直播订货会、山东超级工业城采销对接大会、山东制造大店等市场拓展活动。与知名电商平台合作，举办“产地巡演”“标杆工厂行”“百企游学”等电商培育活动。通过流量补贴等方式，鼓励企业参与“山东制造”特色产品网络销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2021年，“山东制造”网销率大幅提升，力争在知名电商平台的网络营销额提高20%。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（责任单位：省工业和信息化厅、省财政厅、省商务厅、省市场监管局）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、强化普惠金融服务属性。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普惠小微企业贷款延期还本付息政策和信用贷款支持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。督促金融机构细化落实小微企业授信尽职免责标准，适度降低小微从业人员利润指标考核权重，实现普惠型小微企业贷款增速、户数“两增”，推动大型商业银行力争实现2021年普惠型小微企业贷款较年初增速30%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按季度对银行业金融机构民营企业、小微企业信贷投放的增速、利率情况开展评估，按照“优秀”“良好”“一般”“勉励”四个档次予以通报，引导金融机构持续提升民营和小微企业金融服务质效。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建立抵质押物“价值重置”机制，拓展小微企业有效贷款抵质押范围。用好国家小微企业担保降费奖补资金，引导担保机构降低担保费率、扩大小微企业担保融资规模。持续实施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首贷培植、银税互动、应收账款质押、应急转贷、续贷支持等政策措施，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扩大科技创新型小微企业信用贷款规模，推动高成长制造业小微企业中长期贷款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科技型中小企业创新能力提升工程，支持500家科技型中小企业加速科技成果转化落地，建立科技型企业“白名单”制度和科技增信评价体系，将单户企业纳入风险补偿的科技成果转化贷款年度余额提高到2000万元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（责任单位：省地方金融监管局、人民银行济南分行、山东银保监局、省工业和信息化厅、省科技厅）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六、创新应用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供应链金融。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聚焦关键产业链优选核心企业，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分行业分批次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建立“白名单”，引导核心企业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确认应付账款、开具商业汇票、签发供应链票据等，加快核心企业信用向中小微企业传导，支持供应链上的中小微企业融资。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推广供应链金融平台及应用，鼓励与上海票据交易所供应链票据平台对接。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推动金融机构创新供应链金融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根据行业特点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专项信贷产品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方案，服务产业链供应链。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（责任单位：省财政厅、省工业和信息化厅、人民银行济南分行）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撬动社会资本投资效能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发挥新旧动能转换基金作用，通过放宽投资比例、加大让利力度、实施财政奖励等方式吸引社会资本。研究基金支持种子期、初创期科技型企业的办法，打造良好的创新创业生态。承办第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四届“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天使投资节”，开展系列天使诊断，激发社会创业投资热情。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对纳入省级瞪羚、独角兽、单项冠军名单的企业，省新旧动能转换引导基金予以重点投资支持。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开展高端装备、新材料等专项基金项目对接，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力争全年基金投资项目100个、投资额200亿元左右。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省财政厅、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省工业和信息化厅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、省发展改革委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企业发展安全质效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严格落实《山东省生产安全事故应急办法》，实施安全生产驻点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向化工园区和民爆、爆破作业、建筑施工、两客一危、港口危险货物装卸仓储、矿山、危险化学品、冶金等重点行业领域企业派驻人员，强化企业安全生产主体责任，深入开展安全隐患排查整治，守牢安全生产底线。深化“亩产效益”评价改革，将规模以上工业企业（电力、热力、燃气及水的生产和供应业企业除外）及占地3亩以上的规模以下工业企业纳入评价范围，根据企业分类评价结果，实施资源要素差别化配置政策，推动资源要素向高端产业和优质企业集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严格控制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“两高”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项目审批，落实产能、煤炭、能源、碳排放、污染物排放减量替代要求，不符合产业政策、不依法依规落实减量替代要求的，一律不予核准或备案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（责任单位：省政府安委会有关成员单位、省工业和信息化厅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、省发展改革委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九、出台实施民营经济条例。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出台《山东省民营经济发展促进条例》，健全对民营经济的法治保障。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，全面清理和废止不符合条例规定的行政规范性文件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和其他政策措施文件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，尤其是行业准入、资质标准、产业补贴、招投标、政府采购等领域的歧视性规定或没有法定依据的差异性规定。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全面落实公平竞争审查制度，建立健全重大政策会审、政策措施抽查、投诉举报处理和回应机制，推进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公平竞争审查第三方评估，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强化制度刚性约束。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（责任单位：省工业和信息化厅、省司法厅，省市场监管局）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十、创建民营经济发展先进市县。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在全国先行先试，制定民营经济高质量发展先进县（市、区）建设方案，引导县（市、区）探索创新民营经济高质量发展新路径。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，对成效突出的县（市、区）予以重点支持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支持有条件的市争创国家民营经济示范城市。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对认定的特色产业集群、小型微型企业创业创新示范基地、中小企业公共服务示范平台实施综合评价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价结果居前10位的，省级财政分别给予最高100万元一次性奖励。按照升规纳统、瞪羚、独角兽、专精特新小巨人、单项冠军等企业培育数量及增幅，以及公共服务示范平台数量、质量等，对县（市、区）实施综合评价，省级财政对评价结果前3名的县（市、区），分别给予500万元一次性奖补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（责任单位：省工业和信息化厅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、省财政厅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Style w:val="10"/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w+QJboBAABeAwAADgAAAAAAAAABACAAAAAfAQAAZHJzL2Uyb0RvYy54bWxQSwUGAAAAAAYA&#10;BgBZAQAASw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E2D9F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5D0747"/>
    <w:rsid w:val="0227575C"/>
    <w:rsid w:val="025634E8"/>
    <w:rsid w:val="02F715D1"/>
    <w:rsid w:val="03534A1D"/>
    <w:rsid w:val="035F0B53"/>
    <w:rsid w:val="03957DAD"/>
    <w:rsid w:val="03C02989"/>
    <w:rsid w:val="047629E6"/>
    <w:rsid w:val="04CC3209"/>
    <w:rsid w:val="0533506C"/>
    <w:rsid w:val="054C4297"/>
    <w:rsid w:val="0610637D"/>
    <w:rsid w:val="06F216AE"/>
    <w:rsid w:val="071957DE"/>
    <w:rsid w:val="072369A2"/>
    <w:rsid w:val="07942A06"/>
    <w:rsid w:val="0851561E"/>
    <w:rsid w:val="086C50CE"/>
    <w:rsid w:val="08B06BE9"/>
    <w:rsid w:val="09A17020"/>
    <w:rsid w:val="09F864CD"/>
    <w:rsid w:val="0A38110E"/>
    <w:rsid w:val="0B670DBB"/>
    <w:rsid w:val="0C171C61"/>
    <w:rsid w:val="0C3D1BB1"/>
    <w:rsid w:val="0CCA19FA"/>
    <w:rsid w:val="0F3C277D"/>
    <w:rsid w:val="107D3D7A"/>
    <w:rsid w:val="10CD2468"/>
    <w:rsid w:val="10E811E4"/>
    <w:rsid w:val="114B7C4B"/>
    <w:rsid w:val="11856745"/>
    <w:rsid w:val="12161603"/>
    <w:rsid w:val="12AD6635"/>
    <w:rsid w:val="12F079BC"/>
    <w:rsid w:val="13B376F3"/>
    <w:rsid w:val="143A44E9"/>
    <w:rsid w:val="14A50B4A"/>
    <w:rsid w:val="14BF0EAF"/>
    <w:rsid w:val="14DD066D"/>
    <w:rsid w:val="152D1283"/>
    <w:rsid w:val="157D488E"/>
    <w:rsid w:val="174613C6"/>
    <w:rsid w:val="17D64289"/>
    <w:rsid w:val="17EA604E"/>
    <w:rsid w:val="180F46BD"/>
    <w:rsid w:val="18246E83"/>
    <w:rsid w:val="187C7745"/>
    <w:rsid w:val="19493753"/>
    <w:rsid w:val="1A5D6FB0"/>
    <w:rsid w:val="1A8069E8"/>
    <w:rsid w:val="1BDF2E29"/>
    <w:rsid w:val="1C196B5C"/>
    <w:rsid w:val="1CE714E4"/>
    <w:rsid w:val="1D0043DD"/>
    <w:rsid w:val="1F271AE6"/>
    <w:rsid w:val="1F910ADB"/>
    <w:rsid w:val="1FBB7726"/>
    <w:rsid w:val="2078598F"/>
    <w:rsid w:val="20EE7E2B"/>
    <w:rsid w:val="215344FE"/>
    <w:rsid w:val="2200595C"/>
    <w:rsid w:val="221E328B"/>
    <w:rsid w:val="236F298F"/>
    <w:rsid w:val="23AF0CA6"/>
    <w:rsid w:val="24242DC5"/>
    <w:rsid w:val="247012C3"/>
    <w:rsid w:val="24714646"/>
    <w:rsid w:val="248F31EF"/>
    <w:rsid w:val="24A40327"/>
    <w:rsid w:val="24A505F3"/>
    <w:rsid w:val="251C4D73"/>
    <w:rsid w:val="25373364"/>
    <w:rsid w:val="25592904"/>
    <w:rsid w:val="256E396E"/>
    <w:rsid w:val="257A6BEA"/>
    <w:rsid w:val="258D1CBB"/>
    <w:rsid w:val="25D83D4C"/>
    <w:rsid w:val="25F25B3E"/>
    <w:rsid w:val="26080944"/>
    <w:rsid w:val="26FE3355"/>
    <w:rsid w:val="27F445A0"/>
    <w:rsid w:val="27F817D7"/>
    <w:rsid w:val="2867069D"/>
    <w:rsid w:val="286F2486"/>
    <w:rsid w:val="28C90254"/>
    <w:rsid w:val="2929628B"/>
    <w:rsid w:val="2953510D"/>
    <w:rsid w:val="29B7124A"/>
    <w:rsid w:val="2A8941AB"/>
    <w:rsid w:val="2B3F2D82"/>
    <w:rsid w:val="2BEE4EFB"/>
    <w:rsid w:val="2C282C93"/>
    <w:rsid w:val="2CCE1724"/>
    <w:rsid w:val="2CEA4899"/>
    <w:rsid w:val="2CF655FE"/>
    <w:rsid w:val="2DB31832"/>
    <w:rsid w:val="2DDC199F"/>
    <w:rsid w:val="2EC22D90"/>
    <w:rsid w:val="2F995A5C"/>
    <w:rsid w:val="2F9D1782"/>
    <w:rsid w:val="2FBB4C65"/>
    <w:rsid w:val="2FEC5FF7"/>
    <w:rsid w:val="3008390F"/>
    <w:rsid w:val="315F0A10"/>
    <w:rsid w:val="31603888"/>
    <w:rsid w:val="316651C4"/>
    <w:rsid w:val="318E458F"/>
    <w:rsid w:val="319B25A3"/>
    <w:rsid w:val="31E15CEB"/>
    <w:rsid w:val="322B6A76"/>
    <w:rsid w:val="3263732E"/>
    <w:rsid w:val="32EF7E89"/>
    <w:rsid w:val="331E65BF"/>
    <w:rsid w:val="34C1158A"/>
    <w:rsid w:val="34E14F8D"/>
    <w:rsid w:val="35981825"/>
    <w:rsid w:val="35C44396"/>
    <w:rsid w:val="36096D88"/>
    <w:rsid w:val="363A7D7F"/>
    <w:rsid w:val="369C31C0"/>
    <w:rsid w:val="36C45CB5"/>
    <w:rsid w:val="373853AA"/>
    <w:rsid w:val="380B778E"/>
    <w:rsid w:val="390117F8"/>
    <w:rsid w:val="39346449"/>
    <w:rsid w:val="3A16444F"/>
    <w:rsid w:val="3ADC232B"/>
    <w:rsid w:val="3B051B7B"/>
    <w:rsid w:val="3B0C3E6E"/>
    <w:rsid w:val="3B0C5AB6"/>
    <w:rsid w:val="3B3B0FC7"/>
    <w:rsid w:val="3B51467A"/>
    <w:rsid w:val="3BD17DF4"/>
    <w:rsid w:val="3BE578D6"/>
    <w:rsid w:val="3C8F73D3"/>
    <w:rsid w:val="3D176E06"/>
    <w:rsid w:val="3DF833F5"/>
    <w:rsid w:val="3E3F6D5D"/>
    <w:rsid w:val="3F443FFC"/>
    <w:rsid w:val="3FB22D7C"/>
    <w:rsid w:val="40190468"/>
    <w:rsid w:val="40200537"/>
    <w:rsid w:val="414B2DA1"/>
    <w:rsid w:val="4192457D"/>
    <w:rsid w:val="41E76CFC"/>
    <w:rsid w:val="42C47633"/>
    <w:rsid w:val="42EA1747"/>
    <w:rsid w:val="43F917DC"/>
    <w:rsid w:val="4451659E"/>
    <w:rsid w:val="44D24A30"/>
    <w:rsid w:val="45C72C4C"/>
    <w:rsid w:val="4638016B"/>
    <w:rsid w:val="465F3357"/>
    <w:rsid w:val="469E4D15"/>
    <w:rsid w:val="478008A1"/>
    <w:rsid w:val="47E45C76"/>
    <w:rsid w:val="48516B34"/>
    <w:rsid w:val="48843949"/>
    <w:rsid w:val="4B0D2739"/>
    <w:rsid w:val="4B4A2CC0"/>
    <w:rsid w:val="4B8E37CC"/>
    <w:rsid w:val="4BA164DA"/>
    <w:rsid w:val="4C3E55DB"/>
    <w:rsid w:val="4CD42C3C"/>
    <w:rsid w:val="4D1D6625"/>
    <w:rsid w:val="4E255B5F"/>
    <w:rsid w:val="4F3C4EB0"/>
    <w:rsid w:val="502F2EBE"/>
    <w:rsid w:val="50647702"/>
    <w:rsid w:val="507067CD"/>
    <w:rsid w:val="509C1081"/>
    <w:rsid w:val="51214A41"/>
    <w:rsid w:val="51B1418C"/>
    <w:rsid w:val="51D75C42"/>
    <w:rsid w:val="52946132"/>
    <w:rsid w:val="52BD5A4C"/>
    <w:rsid w:val="540434F8"/>
    <w:rsid w:val="540679B3"/>
    <w:rsid w:val="542C0C8D"/>
    <w:rsid w:val="54A043B6"/>
    <w:rsid w:val="552D67B7"/>
    <w:rsid w:val="55463D0A"/>
    <w:rsid w:val="5555539A"/>
    <w:rsid w:val="555E0E42"/>
    <w:rsid w:val="55821C40"/>
    <w:rsid w:val="55EA429C"/>
    <w:rsid w:val="56054373"/>
    <w:rsid w:val="561D04B9"/>
    <w:rsid w:val="56600680"/>
    <w:rsid w:val="56A412A6"/>
    <w:rsid w:val="571B1592"/>
    <w:rsid w:val="574A135F"/>
    <w:rsid w:val="575B5024"/>
    <w:rsid w:val="575D17DE"/>
    <w:rsid w:val="577E78DD"/>
    <w:rsid w:val="57E5359E"/>
    <w:rsid w:val="57EB7D70"/>
    <w:rsid w:val="58CF74D5"/>
    <w:rsid w:val="58FB03FE"/>
    <w:rsid w:val="59204021"/>
    <w:rsid w:val="5A0C326A"/>
    <w:rsid w:val="5A9549C1"/>
    <w:rsid w:val="5A9D2C3D"/>
    <w:rsid w:val="5B6708F8"/>
    <w:rsid w:val="5B68285A"/>
    <w:rsid w:val="5C3F4BCE"/>
    <w:rsid w:val="5D194A6B"/>
    <w:rsid w:val="5D2F1E6A"/>
    <w:rsid w:val="5D746E3E"/>
    <w:rsid w:val="5D894008"/>
    <w:rsid w:val="5E4F2FAA"/>
    <w:rsid w:val="5E611801"/>
    <w:rsid w:val="5E9B2476"/>
    <w:rsid w:val="5EF64E5E"/>
    <w:rsid w:val="601E7272"/>
    <w:rsid w:val="605E2E4F"/>
    <w:rsid w:val="607318CC"/>
    <w:rsid w:val="61260804"/>
    <w:rsid w:val="61696C0E"/>
    <w:rsid w:val="621961F3"/>
    <w:rsid w:val="62AA4D98"/>
    <w:rsid w:val="63170F6E"/>
    <w:rsid w:val="64132E81"/>
    <w:rsid w:val="645A7597"/>
    <w:rsid w:val="64C138DF"/>
    <w:rsid w:val="64F85A22"/>
    <w:rsid w:val="64FD6D4F"/>
    <w:rsid w:val="6578681D"/>
    <w:rsid w:val="66175DD6"/>
    <w:rsid w:val="66DA5E39"/>
    <w:rsid w:val="67384E1E"/>
    <w:rsid w:val="68041AB7"/>
    <w:rsid w:val="683B27B9"/>
    <w:rsid w:val="686108AE"/>
    <w:rsid w:val="68F6047C"/>
    <w:rsid w:val="693E7098"/>
    <w:rsid w:val="69C9357B"/>
    <w:rsid w:val="69CE5799"/>
    <w:rsid w:val="69F15393"/>
    <w:rsid w:val="6A1D3794"/>
    <w:rsid w:val="6A956428"/>
    <w:rsid w:val="6AFF6065"/>
    <w:rsid w:val="6D084D60"/>
    <w:rsid w:val="6DB306B5"/>
    <w:rsid w:val="6E0940AA"/>
    <w:rsid w:val="6E3940AD"/>
    <w:rsid w:val="6F767671"/>
    <w:rsid w:val="70F7372F"/>
    <w:rsid w:val="714F4CF9"/>
    <w:rsid w:val="7276369B"/>
    <w:rsid w:val="732C1607"/>
    <w:rsid w:val="74061E90"/>
    <w:rsid w:val="74400B28"/>
    <w:rsid w:val="74535BE9"/>
    <w:rsid w:val="74624BFD"/>
    <w:rsid w:val="74771ECE"/>
    <w:rsid w:val="74B14A70"/>
    <w:rsid w:val="75364C88"/>
    <w:rsid w:val="75BF7974"/>
    <w:rsid w:val="76413E1E"/>
    <w:rsid w:val="76774474"/>
    <w:rsid w:val="76AB6765"/>
    <w:rsid w:val="77555077"/>
    <w:rsid w:val="77583718"/>
    <w:rsid w:val="77B65F19"/>
    <w:rsid w:val="799A2C43"/>
    <w:rsid w:val="79C915F6"/>
    <w:rsid w:val="7A066F73"/>
    <w:rsid w:val="7A20123F"/>
    <w:rsid w:val="7A7F6B01"/>
    <w:rsid w:val="7B496B5C"/>
    <w:rsid w:val="7B984DF8"/>
    <w:rsid w:val="7BA33D91"/>
    <w:rsid w:val="7C080A89"/>
    <w:rsid w:val="7C4E3913"/>
    <w:rsid w:val="7CD9618C"/>
    <w:rsid w:val="7CF035E1"/>
    <w:rsid w:val="7DCE2120"/>
    <w:rsid w:val="7E1A4132"/>
    <w:rsid w:val="7E710223"/>
    <w:rsid w:val="7EBB3AFF"/>
    <w:rsid w:val="7F0A7AAE"/>
    <w:rsid w:val="7FBE3E71"/>
    <w:rsid w:val="7FED5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2020-07-28T02:17:00Z</dcterms:created>
  <dc:creator>李永华</dc:creator>
  <cp:lastModifiedBy>PC</cp:lastModifiedBy>
  <cp:lastPrinted>2020-11-20T00:55:00Z</cp:lastPrinted>
  <dcterms:modified xsi:type="dcterms:W3CDTF">2021-04-19T09:34:30Z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21FC0A02DBD64D2786153F15CA97DCE8</vt:lpwstr>
  </property>
</Properties>
</file>