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FFED">
      <w:pPr>
        <w:spacing w:line="56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E359A5F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小标宋简体" w:cs="Times New Roman"/>
          <w:sz w:val="32"/>
          <w:szCs w:val="22"/>
        </w:rPr>
      </w:pPr>
    </w:p>
    <w:p w14:paraId="1A6F71D4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216A1EC1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60AEEE17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3746153C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61C8E82B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山东省软件和信息技术服务业</w:t>
      </w:r>
    </w:p>
    <w:p w14:paraId="47D5C4D5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发展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行动计划</w:t>
      </w:r>
    </w:p>
    <w:p w14:paraId="3308BAB0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2026—2030年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）</w:t>
      </w:r>
    </w:p>
    <w:p w14:paraId="3B1786EA">
      <w:pPr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（征求意见稿）</w:t>
      </w:r>
    </w:p>
    <w:p w14:paraId="37096581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210FD055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27BE0D0E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071755BA">
      <w:pPr>
        <w:widowControl w:val="0"/>
        <w:spacing w:after="120" w:line="56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52"/>
          <w:szCs w:val="52"/>
          <w:lang w:val="en-US" w:eastAsia="zh-CN" w:bidi="ar-SA"/>
        </w:rPr>
      </w:pPr>
    </w:p>
    <w:p w14:paraId="18A7E916">
      <w:pPr>
        <w:widowControl w:val="0"/>
        <w:spacing w:after="120" w:line="56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52"/>
          <w:szCs w:val="52"/>
          <w:lang w:val="en-US" w:eastAsia="zh-CN" w:bidi="ar-SA"/>
        </w:rPr>
      </w:pPr>
    </w:p>
    <w:p w14:paraId="6F788B03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6F75C20E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70FD5B28">
      <w:pPr>
        <w:spacing w:line="560" w:lineRule="exact"/>
        <w:ind w:firstLine="1040" w:firstLineChars="20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4EBFD12E">
      <w:pPr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40"/>
          <w:szCs w:val="40"/>
          <w:lang w:val="en-US" w:eastAsia="zh-CN"/>
        </w:rPr>
        <w:t>2026年6</w:t>
      </w:r>
      <w:bookmarkStart w:id="79" w:name="_GoBack"/>
      <w:bookmarkEnd w:id="79"/>
      <w:r>
        <w:rPr>
          <w:rFonts w:hint="eastAsia" w:ascii="Times New Roman" w:hAnsi="Times New Roman" w:eastAsia="楷体_GB2312" w:cs="Times New Roman"/>
          <w:sz w:val="40"/>
          <w:szCs w:val="40"/>
          <w:lang w:val="en-US" w:eastAsia="zh-CN"/>
        </w:rPr>
        <w:t>月</w:t>
      </w:r>
    </w:p>
    <w:p w14:paraId="226805DF">
      <w:pPr>
        <w:spacing w:line="560" w:lineRule="exact"/>
        <w:ind w:firstLine="720" w:firstLineChars="200"/>
        <w:jc w:val="left"/>
        <w:rPr>
          <w:rFonts w:ascii="Times New Roman" w:hAnsi="Times New Roman" w:eastAsia="楷体_GB2312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sz w:val="36"/>
          <w:szCs w:val="36"/>
        </w:rPr>
        <w:br w:type="page"/>
      </w:r>
    </w:p>
    <w:p w14:paraId="17B1BE58">
      <w:pPr>
        <w:spacing w:line="560" w:lineRule="exact"/>
        <w:ind w:firstLine="720"/>
        <w:jc w:val="center"/>
        <w:rPr>
          <w:rFonts w:ascii="Times New Roman" w:hAnsi="Times New Roman" w:eastAsia="楷体_GB2312" w:cs="Times New Roman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7A3CAA86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目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录</w:t>
      </w:r>
    </w:p>
    <w:p w14:paraId="08D427F8">
      <w:pPr>
        <w:pStyle w:val="1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instrText xml:space="preserve"> TOC \o "1-3" \h \z \u </w:instrTex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instrText xml:space="preserve"> HYPERLINK \l _Toc18983 </w:instrTex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一、总体要求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PAGEREF _Toc18983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737C0825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instrText xml:space="preserve"> HYPERLINK \l _Toc28369 </w:instrTex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（一）指导思想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PAGEREF _Toc28369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4EAB261C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instrText xml:space="preserve"> HYPERLINK \l _Toc30034 </w:instrTex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（二）基本原则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PAGEREF _Toc30034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3962D8C3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instrText xml:space="preserve"> HYPERLINK \l _Toc1090 </w:instrTex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（三）发展目标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PAGEREF _Toc1090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35127C21">
      <w:pPr>
        <w:pStyle w:val="1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instrText xml:space="preserve"> HYPERLINK \l _Toc12361 </w:instrTex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二、重点任务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PAGEREF _Toc12361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5B201560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_Toc8474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夯实关键技术创新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底座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_Toc8474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3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280C4FFB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_Toc12714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1.突破关键核心技术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_Toc12714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490F5DD6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_Toc20963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trike w:val="0"/>
          <w:dstrike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强化项目培优育新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_Toc20963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7591B1BE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_Toc19115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3.加强创新平台建设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_Toc19115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74616000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_Toc9837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4.完善成果转化机制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_Toc9837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F7F81B3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_Toc2439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28"/>
          <w:szCs w:val="28"/>
          <w:highlight w:val="none"/>
        </w:rPr>
        <w:t>加快人工智能赋能赋智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_Toc2439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6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2457FDEA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_Toc25351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1.筑牢软件工程智能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>新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基座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_Toc25351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2C6A9A73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_Toc23629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2.加速软件产品智能化升级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_Toc23629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7971C71B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_Toc29847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3.培育软件智能化创新主体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_Toc29847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2EF212D6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_Toc7957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4.推动软件企业智能化技改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_Toc7957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1CDA2A14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_Toc1656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）推动应用场景融合化转型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_Toc1656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8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3D8D9DE7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_Toc6374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赋能制造业数智化转型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_Toc6374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8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F9B2254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_Toc20550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推动数字消费能级提升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_Toc20550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3876DC73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_Toc17624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3.深入实施信创工程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_Toc17624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7261D3AA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_Toc8956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（四）加快开源生态体系建设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_Toc8956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10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795FEF14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_Toc28980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1.打造开源生态培育载体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_Toc28980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297773A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_Toc14353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建设“齐鲁源创”开源生态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_Toc14353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2772BDD7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_Toc19613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3.加强开源安全合规保障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_Toc19613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0F6F21D5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_Toc6779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>加力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eastAsia="zh-CN"/>
        </w:rPr>
        <w:t>促进开源文化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推广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_Toc6779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12394774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_Toc17073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（五）培育壮大优质企业和产业集群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_Toc17073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12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6BCE33A3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_Toc26719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培育优质企业梯队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_Toc26719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12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2F74653B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_Toc7877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2.强化区域合作协同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_Toc7877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13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656C6CCA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_Toc1711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（六）提升软件产业国际化水平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_Toc1711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14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6A582588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_Toc26960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1.推动软件产品与服务“出海”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_Toc26960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14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B5C5F8D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_Toc32576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2.吸引国际龙头企业落户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_Toc32576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076D4CAB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_Toc7458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（七）持续优化产业发展环境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_Toc7458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15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5EF605B8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_Toc6358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1.加强软件知识产权保护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_Toc6358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77940E97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_Toc2144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健全重点领域标准体系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_Toc2144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15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47D2C34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_Toc10689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3.强化金融助力产融协同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_Toc10689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16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3D7A94F9"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instrText xml:space="preserve"> HYPERLINK \l _Toc28110 </w:instrTex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4.聚力做好人才引育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PAGEREF _Toc28110 \h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28"/>
          <w:szCs w:val="28"/>
        </w:rPr>
        <w:t>16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zh-CN"/>
        </w:rPr>
        <w:fldChar w:fldCharType="end"/>
      </w:r>
    </w:p>
    <w:p w14:paraId="53CDE78F">
      <w:pPr>
        <w:pStyle w:val="1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_Toc137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三、保障措施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_Toc137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17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4C59FE15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_Toc25952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（一）加强组织协调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_Toc25952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17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2C3A7DB0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_Toc29365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（二）加大政策支持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_Toc29365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17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7A9A34F4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_Toc7772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（三）强化监测评估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_Toc7772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17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29D03669">
      <w:pPr>
        <w:pStyle w:val="13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begin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instrText xml:space="preserve"> HYPERLINK \l _Toc19168 </w:instrTex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（四）提高安全保障</w:t>
      </w:r>
      <w:r>
        <w:rPr>
          <w:rFonts w:hint="default" w:ascii="Times New Roman" w:hAnsi="Times New Roman" w:eastAsia="楷体" w:cs="Times New Roman"/>
          <w:sz w:val="28"/>
          <w:szCs w:val="28"/>
        </w:rPr>
        <w:tab/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PAGEREF _Toc19168 \h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18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zh-CN"/>
        </w:rPr>
        <w:fldChar w:fldCharType="end"/>
      </w:r>
    </w:p>
    <w:p w14:paraId="10BD9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zh-CN"/>
        </w:rPr>
        <w:fldChar w:fldCharType="end"/>
      </w:r>
    </w:p>
    <w:p w14:paraId="2153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山东省软件和信息技术服务业高质量发展行动计划（2026—2030年）</w:t>
      </w:r>
    </w:p>
    <w:p w14:paraId="15F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C612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软件是新一代信息技术的灵魂，是数字产业化的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要领域和产业数字化的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支撑。为贯彻落实国家软件发展战略，抢抓新一轮科技革命和产业变革的重大机遇，深入推动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软件和信息技术服务业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以下简称“软件产业”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高质量发展，助力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数字强省、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强省建设，根据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《山东省国民经济和社会发展第十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个五年规划纲要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》，编制本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行动计划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18A71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Toc18983"/>
      <w:bookmarkStart w:id="1" w:name="_Toc1859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一、总体要求</w:t>
      </w:r>
      <w:bookmarkEnd w:id="0"/>
      <w:bookmarkEnd w:id="1"/>
    </w:p>
    <w:p w14:paraId="7C8581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2" w:name="_Toc21079"/>
      <w:bookmarkStart w:id="3" w:name="_Toc28369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（一）指导思想</w:t>
      </w:r>
      <w:bookmarkEnd w:id="2"/>
      <w:bookmarkEnd w:id="3"/>
    </w:p>
    <w:p w14:paraId="53A986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习近平新时代中国特色社会主义思想为指导，全面贯彻党的二十大和二十届历次全会精神，深入贯彻习近平总书记视察山东重要讲话和重要指示批示精神，立足新发展阶段，贯彻新发展理念，融入新发展格局，以建设现代化产业体系、推动高质量发展为主题，以提升软件供给能力、加快形成新质生产力为出发点，以推进软件服务与实体经济深度融合为路径，聚焦“应用牵引、创新驱动、智能升级、生态构建、基础支撑”五大主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持续推动供需结对攻关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深化重点行业融合应用，培育壮大优质企业和产业集群，奋力建设具有全国影响力的软件产业创新先行区、融合应用先导区和生态培育示范区。</w:t>
      </w:r>
    </w:p>
    <w:p w14:paraId="03BCEF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4" w:name="_Toc30034"/>
      <w:bookmarkStart w:id="5" w:name="_Toc4489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（二）基本原则</w:t>
      </w:r>
      <w:bookmarkEnd w:id="4"/>
      <w:bookmarkEnd w:id="5"/>
    </w:p>
    <w:p w14:paraId="63F819B9">
      <w:pPr>
        <w:keepNext w:val="0"/>
        <w:keepLines w:val="0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创新引领，自主可控。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坚持把创新摆在软件产业发展全局的核心位置，强化企业创新主体地位，围绕基础软件、工业软件、新兴软件等领域开展关键核心技术攻关，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重点行业、关键领域的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软件供给能力和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顺应人工智能发展浪潮，加快推动软件产业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开发模式、业务逻辑、产品形态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变革重塑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>。</w:t>
      </w:r>
    </w:p>
    <w:p w14:paraId="7C631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需求牵引，融合赋能。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坚持以应用场景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为牵引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，面向制造业数字化转型、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新一代信息技术融合应用、数字强省建设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等重大需求，以实际应用效果推动产品技术迭代升级，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推动软件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服务向更深层次拓展，培树一批具有国际竞争力的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软件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产品和企业，实现软件产业与实体经济的双向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赋能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、融合共赢。</w:t>
      </w:r>
    </w:p>
    <w:p w14:paraId="2B1FC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集聚发展，优化生态。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坚持全省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统筹布局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，引导要素资源向优势区域、重点园区、龙头企业集聚，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济南、青岛“双核”引领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，构建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错位发展、协同联动的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软件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培育大中小企业融通、产学研用协同的产业生态，推动形成以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龙头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、专精特新企业为支撑、初创企业为补充的梯次发展格局。</w:t>
      </w:r>
    </w:p>
    <w:p w14:paraId="7D780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共享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开放，安全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审慎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统筹发展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完善包容审慎的创新与监管机制，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在扩大开放合作中提升产业能级，保障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网络和数据安全。坚持高水平“走出去”和“引进来”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吸引国内外知名软件企业在鲁设立研发中心、区域总部，支持本土优势企业参与国际竞争与合作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主动融入全球软件产业链、创新链。</w:t>
      </w:r>
    </w:p>
    <w:p w14:paraId="12E0C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6" w:name="_Toc1090"/>
      <w:bookmarkStart w:id="7" w:name="_Toc12193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（三）发展目标</w:t>
      </w:r>
      <w:bookmarkEnd w:id="6"/>
      <w:bookmarkEnd w:id="7"/>
    </w:p>
    <w:p w14:paraId="026E4B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到2030年，软件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成为全省数字经济发展的核心引擎，人工智能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赋能赋智作用凸显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软件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供给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规模化应用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全面提升，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开源成为技术演进和产业升级的重要模式，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开创“量质齐升、高端高智、应用丰富”的软件产业发展新局面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F32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产业综合实力实现新跨越。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到2030年，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千亿级软件企业2家、百亿级软件企业10家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培强国家鼓励的重点软件企业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家、软件百强企业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建设国内一流企业梯队，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软件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年均增速保持在10%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以上，对服务业支撑作用更加显著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E81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技术创新能力达到新高度。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在基础软件、工业软件、人工智能等关键领域实现重大突破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布局建设一批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高能级创新载体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建省级软件工程技术中心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00家、培育省级首版次高端软件1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00个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个以上运营机制完善的活力开源社区，开源生态建设进入全国前列。</w:t>
      </w:r>
    </w:p>
    <w:p w14:paraId="5D6D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融合赋能效应得到新提升。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软件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人工智能与实体经济深度融合，在工业、农业、服务业等领域形成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一批典型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应用场景和解决方案。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信息技术应用创新解决方案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500个以上，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制造业重点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行业国产工业控制系统应用水平显著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提升。</w:t>
      </w:r>
    </w:p>
    <w:p w14:paraId="59AF70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8" w:name="_Toc12361"/>
      <w:bookmarkStart w:id="9" w:name="_Toc1254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二、重点任务</w:t>
      </w:r>
      <w:bookmarkEnd w:id="8"/>
      <w:bookmarkEnd w:id="9"/>
    </w:p>
    <w:p w14:paraId="170820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bookmarkStart w:id="10" w:name="_Toc3525"/>
      <w:bookmarkStart w:id="11" w:name="_Toc8474"/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夯实关键技术创新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底座</w:t>
      </w:r>
      <w:bookmarkEnd w:id="10"/>
      <w:bookmarkEnd w:id="11"/>
    </w:p>
    <w:p w14:paraId="0FE43FA0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2" w:name="_Toc14579"/>
      <w:bookmarkStart w:id="13" w:name="_Toc1271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1.突破关键核心技术</w:t>
      </w:r>
      <w:bookmarkEnd w:id="12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瞄准产业链前沿领域和堵点难点，支持龙头企业联合高校、科研院所开展行业共性技术攻关和产品适配验证，完善关键软件产业链条。面向基础软件、工业软件、新兴软件、人工智能等重点领域，推动核心技术攻关需求和自主创新成果精准匹配，重点提升智能装备嵌入式系统、智慧海洋应用软件、工业互联网平台等特色优势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研发能力和供给水平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省科技厅、省工业和信息化厅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bookmarkEnd w:id="13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3C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291999">
            <w:pPr>
              <w:pStyle w:val="6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专栏1 高端软件创新能力提升工程</w:t>
            </w:r>
          </w:p>
        </w:tc>
      </w:tr>
      <w:tr w14:paraId="77A2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522" w:type="dxa"/>
          </w:tcPr>
          <w:p w14:paraId="00577510">
            <w:pPr>
              <w:adjustRightInd w:val="0"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基础软件。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突破服务器操作系统、云数据中心操作系统、云化中间件、分布式数据库、开发测试工具、零信任安全防护软件等领域关键技术，加强国产软硬件耦合适配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提升运行环境支撑能力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。提高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基础软件迭代效率，推广大模型辅助编程新范式。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支持企业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参与国家统一操作系统生态建设，共建鸿蒙创新赋能中心。</w:t>
            </w:r>
          </w:p>
          <w:p w14:paraId="2FF01028">
            <w:pPr>
              <w:adjustRightInd w:val="0"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工业软件。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工业软件协同创新联盟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等协会组织优势，瞄准研发设计、生产控制、业务管理等重点领域，推动软件企业联合下游用户开展协同攻关，聚力做强高端工业软件。布局工业软件研发和应用推广项目，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发展一批工业APP和行业解决方案，打造新型研发生产方式和服务管理模式。</w:t>
            </w:r>
          </w:p>
          <w:p w14:paraId="1BF1FD82">
            <w:pPr>
              <w:adjustRightInd w:val="0"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新兴软件。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锚定全球软件技术发展前沿，加强云原生、大模型、区块链等技术研发和创新应用，支持省内新型研发机构超前布局量子软件、虚拟现实、第六代移动通信（6G）软件等前沿领域。发挥应用场景丰富优势，加强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新兴软件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研发和创新应用，在先进制造、能源管理、轨道交通、医养健康、文化旅游等领域开发一批平台软件和解决方案。支持省内安全企业开展软件安全技术攻关，推动密码算法、密钥管理、隐私计算等在软件产品中的融合应用。</w:t>
            </w:r>
          </w:p>
        </w:tc>
      </w:tr>
    </w:tbl>
    <w:p w14:paraId="0F9ACD79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pacing w:val="0"/>
          <w:sz w:val="32"/>
          <w:szCs w:val="32"/>
          <w:lang w:val="en-US" w:eastAsia="zh-CN"/>
        </w:rPr>
      </w:pPr>
      <w:bookmarkStart w:id="14" w:name="_Toc1678"/>
      <w:bookmarkStart w:id="15" w:name="_Toc20963"/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强化项目培优育新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bookmarkEnd w:id="14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充分释放“软件定义”“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赋能”创新活力，加速模式创新、机制创新，构建协同联动、自主可控的产业创新体系。支持重点企业联合高等院校、科研院所积极承担国家重大科技项目、重大产业专项，加速技术创新和产品迭代，引领带动全省产业创新发展。梳理高端软件领域规模体量大、引领带动强的项目，符合条件的纳入省现代服务业重点项目库、省新旧动能转换重大产业攻关项目等给予支持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pacing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trike w:val="0"/>
          <w:dstrike w:val="0"/>
          <w:color w:val="000000"/>
          <w:spacing w:val="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strike w:val="0"/>
          <w:dstrike w:val="0"/>
          <w:color w:val="000000"/>
          <w:sz w:val="32"/>
          <w:szCs w:val="32"/>
        </w:rPr>
        <w:t>省发展改革委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trike w:val="0"/>
          <w:dstrike w:val="0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trike w:val="0"/>
          <w:dstrike w:val="0"/>
          <w:color w:val="000000"/>
          <w:sz w:val="32"/>
          <w:szCs w:val="32"/>
        </w:rPr>
        <w:t>省科技厅、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strike w:val="0"/>
          <w:dstrike w:val="0"/>
          <w:color w:val="000000"/>
          <w:sz w:val="32"/>
          <w:szCs w:val="32"/>
        </w:rPr>
        <w:t>省工业和信息化厅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pacing w:val="0"/>
          <w:sz w:val="32"/>
          <w:szCs w:val="32"/>
          <w:lang w:val="en-US" w:eastAsia="zh-CN"/>
        </w:rPr>
        <w:t>）</w:t>
      </w:r>
      <w:bookmarkEnd w:id="15"/>
    </w:p>
    <w:p w14:paraId="46B06D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16" w:name="_Toc13820"/>
      <w:bookmarkStart w:id="17" w:name="_Toc19115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3.加强创新平台建设</w:t>
      </w:r>
      <w:bookmarkEnd w:id="16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支持骨干企业联合高校、科研院所建好用好软件相关领域各类科技创新平台，积极创建软件领域国家新兴产业发展示范基地、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国家级研发设计类工业软件制造业创新中心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推动开展软件、硬件、应用和服务的一体化适配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化中试项目管理，布局建设高端软件中试平台、基地，支持建设国家级“人工智能+工业软件”中试基地，完善“算法验证—系统集成—场景测试”创新链条。建设省级数字经济创新型企业培育库，聚焦高端软件等重点领域，遴选支持一批领军型、种子型数字经济创新型企业。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（责任单位：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省发展改革委、省科技厅、省工业和信息化厅、省大数据局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17"/>
    </w:p>
    <w:p w14:paraId="17ABD2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bookmarkStart w:id="18" w:name="_Toc3555"/>
      <w:bookmarkStart w:id="19" w:name="_Toc9837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4.完善成果转化机制</w:t>
      </w:r>
      <w:bookmarkEnd w:id="18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建强省级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端软件供给服务平台，强化供需对接服务，推动产品真试真用、迭代升级。鼓励企业、高校、科研院所建立常态化对接机制，定期举办软件成果展示、技术交易、项目路演等活动。支持建设软件领域概念验证中心和产业化基地，促进创新成果首试首用。完善首版次软件推广应用政策，加大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采购和应用示范力度。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省科技厅、省工业和信息化厅、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省国资委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bookmarkEnd w:id="19"/>
    </w:p>
    <w:p w14:paraId="2BCDB8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bookmarkStart w:id="20" w:name="_Toc1735"/>
      <w:bookmarkStart w:id="21" w:name="_Toc2439"/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楷体" w:hAnsi="楷体" w:eastAsia="楷体" w:cs="楷体"/>
          <w:color w:val="auto"/>
          <w:sz w:val="32"/>
          <w:szCs w:val="32"/>
          <w:highlight w:val="none"/>
        </w:rPr>
        <w:t>加快人工智能赋能赋智</w:t>
      </w:r>
      <w:bookmarkEnd w:id="20"/>
      <w:bookmarkEnd w:id="21"/>
    </w:p>
    <w:p w14:paraId="7C0463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bookmarkStart w:id="22" w:name="_Toc16581"/>
      <w:bookmarkStart w:id="23" w:name="_Toc25351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bookmarkEnd w:id="22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筑牢软件工程智能新基座。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聚焦人工智能基础理论、核心算法、关键模型等开展创新攻关，加速模型算法和工程化技术创新，做强一批具备自主知识产权的代码大模型、需求分析和设计大模型等。聚焦超长上下文理解、复杂逻辑推理和跨库代码生成等核心能力，研发多模态代码大模型。构建全栈式大模型工具链，突破分布式训练、高效参数微调、强化学习对齐等关键技术，夯实软件开发智能化底座。鼓励龙头企业联合高校院所开展类脑智能、具身智能等前沿技术研究，抢占未来竞争制高点。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省工业和信息化厅、省科技厅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）</w:t>
      </w:r>
      <w:bookmarkEnd w:id="23"/>
    </w:p>
    <w:p w14:paraId="65D0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4" w:name="_Toc29049"/>
      <w:bookmarkStart w:id="25" w:name="_Toc23629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2.加速软件产品智能化升级</w:t>
      </w:r>
      <w:bookmarkEnd w:id="2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推动大模型等人工智能技术与基础软件、工业软件深度融合，培育具备强交互性、自适应性的智能产品，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加速软件产品云化、平台化、智能化转型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推动工业软件与人工智能深度融合，突破生成式制图、生成式设计、智能网格划分、智能代理运算、智能语义引擎、智能流程协同、应用自主构造等关键技术，加速高价值场景智能化升级，推出一批“工业大模型驱动+智能体协同”的新型工业软件。推动工业互联网平台集成大模型能力，提升设备互联、数据分析和生产调度的智能化水平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省工业和信息化厅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bookmarkEnd w:id="25"/>
    </w:p>
    <w:p w14:paraId="669CBF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26" w:name="_Toc7492"/>
      <w:bookmarkStart w:id="27" w:name="_Toc29847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3.培育软件智能化创新主体</w:t>
      </w:r>
      <w:bookmarkEnd w:id="26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强化人工智能重点企业培育，鼓励本地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优势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企业和研究机构整合资源，开展大模型算法创新和核心技术攻关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完善人工智能开源开放平台，为各类创新主体提供算法训练、模型测试、应用孵化等公共服务。探索基于数字Token的智能体服务订阅、调用计量与分润结算机制。（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省工业和信息化厅、省科技厅、省发展改革委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bookmarkEnd w:id="27"/>
    </w:p>
    <w:p w14:paraId="2FA5533A">
      <w:pPr>
        <w:adjustRightInd w:val="0"/>
        <w:snapToGrid w:val="0"/>
        <w:spacing w:line="560" w:lineRule="exact"/>
        <w:ind w:firstLine="643" w:firstLineChars="200"/>
        <w:outlineLvl w:val="2"/>
        <w:rPr>
          <w:rFonts w:hint="default" w:ascii="Times New Roman" w:hAnsi="Times New Roman" w:cs="Times New Roman"/>
          <w:szCs w:val="32"/>
        </w:rPr>
      </w:pPr>
      <w:bookmarkStart w:id="28" w:name="_Toc4702"/>
      <w:bookmarkStart w:id="29" w:name="_Toc7957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4.推动软件企业智能化技改。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推动人工智能赋能重构软件产业开发模式、业务逻辑、产品形态，鼓励企业利用大模型技术研发辅助编程、测试运维、代码迁移、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流水线开发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工具，推动智能体工具与编程工具深度融合，打造人机协同、群智融合的智能开发环境，探索建设代码模块自动生成、测试体系实时验证的软件工厂。开展多种形式的企业智能化转型专项能力培训，总结推广一批软件智能化技改经验，促进软件生产方式变革。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28"/>
      <w:bookmarkEnd w:id="29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6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A616CD">
            <w:pPr>
              <w:pStyle w:val="6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专栏2 人工智能创新应用培育工程</w:t>
            </w:r>
          </w:p>
        </w:tc>
      </w:tr>
      <w:tr w14:paraId="1312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2FA79C">
            <w:pPr>
              <w:adjustRightInd w:val="0"/>
              <w:snapToGrid w:val="0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夯实人工智能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技术底座。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聚焦代码大模型、智能体编排框架、多模态理解与自主推理引擎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，依托国产算力与开源大模型底座，构建“算力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算法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框架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工具链”全栈自主可控体系。支持龙头企业联合高校院所攻关突破复杂任务规划、代码自验证、多智能体协同决策等关键瓶颈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探索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建设Agentic AI公共技术平台，开放模型微调、智能体评测、安全对抗等基础能力，打造面向AI原生时代的软件技术基座。</w:t>
            </w:r>
          </w:p>
          <w:p w14:paraId="1100B7C3">
            <w:pPr>
              <w:adjustRightInd w:val="0"/>
              <w:snapToGrid w:val="0"/>
              <w:spacing w:after="0" w:line="560" w:lineRule="exact"/>
              <w:ind w:firstLine="562" w:firstLineChars="20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突破工业智能体关键技术。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面向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成式智能设计、多物理场自适应高精度智能网格剖分与降阶求解、工业智能体自主推理与分布式协同运算、工业垂域大模型语义理解与知识推理引擎、复杂工业场景动态自适应多主体流程协同调度、模型驱动的工业软件模块化自主构造与迭代进化等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加力攻关，形成一批技术成果和知识产权。</w:t>
            </w:r>
          </w:p>
          <w:p w14:paraId="3C9EB4EB">
            <w:pPr>
              <w:adjustRightInd w:val="0"/>
              <w:snapToGrid w:val="0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培育智能体软件新生态。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支持重点企业开发跨领域、多任务、自规划的通用智能体，重点研制面向工业装备的工业智能体，强化智能体与工业控制系统的交互适配。鼓励将智能体深度嵌入企业资源管理等核心业务系统，构建智能原生人机交互模式。推进外部应用调用、多智能体协同等技术研发应用，推广智能体互联相关标准，实现智能体之间的身份互认、高效协同和决策可解释性。</w:t>
            </w:r>
          </w:p>
          <w:p w14:paraId="48DED6A4">
            <w:pPr>
              <w:pStyle w:val="6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深化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行业应用。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建设人工智能行业应用创新实验室和验证平台，推动大模型在垂直行业的落地应用。围绕智慧政务、智能制造、智慧医疗、智能交通、智慧金融、智慧教育等领域，征集并发布一批具有示范效应的软件或人工智能应用场景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打造一批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可复制推广的解决方案。</w:t>
            </w:r>
          </w:p>
          <w:p w14:paraId="4A83D4F1">
            <w:pPr>
              <w:pStyle w:val="6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基础设施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统筹布局人工智能算力基础设施，构建开放协同的“山东算力网”，支持建设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行业级、企业级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公共算力中心、智能计算中心，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为集聚区企业提供普惠、高效、安全的算力服务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鼓励建设或改造一批“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软件”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应用中试基地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，吸引研发中心、区域总部、创新型企业集群入驻。</w:t>
            </w:r>
          </w:p>
        </w:tc>
      </w:tr>
    </w:tbl>
    <w:p w14:paraId="6F25D8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bookmarkStart w:id="30" w:name="_Toc21686"/>
      <w:bookmarkStart w:id="31" w:name="_Toc1656"/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）推动应用场景融合化转型</w:t>
      </w:r>
      <w:bookmarkEnd w:id="30"/>
      <w:bookmarkEnd w:id="31"/>
    </w:p>
    <w:p w14:paraId="28C1FCF2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32" w:name="_Toc6533"/>
      <w:bookmarkStart w:id="33" w:name="_Toc637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赋能制造业数智化转型</w:t>
      </w:r>
      <w:bookmarkEnd w:id="32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聚焦制造业高端化、智能化、绿色化发展方向，面向高端装备、新能源汽车、化工、钢铁等优势行业，加快计算机辅助设计（CAD）、产品生命周期管理（PLM）、制造执行系统（MES）、分布式控制系统（DCS）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实验室管理系统（LIMS）、质量管理系统（QMS）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等工业软件的普及应用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。强化工业软件云化部署和服务模式创新，支持工业软件一体化发展，推动CAD、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计算机辅助工程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（CAE）、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计算机辅助制造（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CAM）等研发设计软件统一标准、整合延伸，从功能集成向数智融合转变。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分行业遴选一批数智化转型服务商，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石化、轻工、能源等重点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领域开展供需对接活动，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培育一批跨行业、跨领域的融合应用典型案例，在全省范围内推广复制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省国资委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33"/>
    </w:p>
    <w:p w14:paraId="7FBA2BEC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34" w:name="_Toc28404"/>
      <w:bookmarkStart w:id="35" w:name="_Toc2055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推动数字消费能级提升</w:t>
      </w:r>
      <w:bookmarkEnd w:id="3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大力发展面向个人消费者的智能交互与数字内容类软件产品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重点推动数字助理、数字人等智能交互类软件研发与应用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积极培育以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龙虾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为代表的智能经济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软件，拓展文旅、餐饮、娱乐等领域的数字化体验与商业模式创新，提升个人终端与场景化服务的智能化水平。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推动软件与金融、物流、文旅、商贸等服务业深度融合，重点发展金融科技软件、智慧物流软件、数字文创软件、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跨境贸易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软件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全领域全环节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的数字化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支撑服务水平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。围绕打造乡村振兴齐鲁样板，大力发展智慧农业软件及解决方案。（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bookmarkEnd w:id="35"/>
    </w:p>
    <w:p w14:paraId="3A1FD8F9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36" w:name="_Toc1762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3.深入实施信创工程。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政务、教育、能源、卫健、交通、制造等重点行业领域需求，深化信息技术应用创新，征集推广一批解决方案和典型案例，引领提高国产化水平和应用规模。督促信创企业建立覆盖范围广、响应效率高的服务保障体系。鼓励优势企业加快打造从底层编译器、操作系统、数据库到上层应用及完整开发流水线的全栈式解决方案，面向重点行业实现贯通式推广和体系化落地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责任单位：省委网信办、省工业和信息化厅、省教育厅、省卫生健康委、省国资委、省密码管理局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bookmarkEnd w:id="36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82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568F5A0">
            <w:pPr>
              <w:pStyle w:val="6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专栏3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30"/>
              </w:rPr>
              <w:t>重点行业软件应用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30"/>
                <w:lang w:val="en-US" w:eastAsia="zh-CN"/>
              </w:rPr>
              <w:t>深化工程</w:t>
            </w:r>
          </w:p>
        </w:tc>
      </w:tr>
      <w:tr w14:paraId="21DF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C70EE3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全面开放应用场景。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深入实施“软件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赋能”工程，推动软件技术在千行百业全面渗透、深度融合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，推动创新产品在产业化实践中不断迭代成熟，加快实现规模化应用。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软件应用场景“揭榜挂帅”机制，鼓励软件企业、制造企业、科研院所联合开展技术攻关和模式创新。定期发布软件赋能优秀案例，分行业、分区域开展经验交流和推广活动，推动软件应用从点状突破向面状普及转变。</w:t>
            </w:r>
          </w:p>
          <w:p w14:paraId="037CAD86">
            <w:pPr>
              <w:pStyle w:val="6"/>
              <w:adjustRightInd w:val="0"/>
              <w:snapToGrid w:val="0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加强新赛道前瞻布局。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富人形机器人应用软件供给，突破用于人形机器人与具身智能的操作系统技术，拓展以软件定义为特征的人形机器人商业模式。支持济南工业软件研究院联合用户企业加快推出“人工智能+”行业软件系统解决方案，实现设计、仿真、制造全流程的智能化突破。</w:t>
            </w:r>
          </w:p>
        </w:tc>
      </w:tr>
    </w:tbl>
    <w:p w14:paraId="34464E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37" w:name="_Toc8956"/>
      <w:bookmarkStart w:id="38" w:name="_Toc8066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（四）加快开源生态体系建设</w:t>
      </w:r>
      <w:bookmarkEnd w:id="37"/>
      <w:bookmarkEnd w:id="38"/>
    </w:p>
    <w:p w14:paraId="4BB4BF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39" w:name="_Toc28980"/>
      <w:bookmarkStart w:id="40" w:name="_Toc26102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1.打造开源生态培育载体。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鼓励软件企业、用户企业、开源组织、高校院所等深化协同合作，联合建设开源生态创新中心等载体，提升开源硬件和开源操作系统应用适配能力。支持企业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设立开源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办公室，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推动发展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一批具有技术先进性和生态竞争优势的开源项目，积极向国家级正规开源基金会贡献开源项目和资源。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支持开源组织、高校院所建立开源创新中心，为开源生态培育提供良好的合作平台。支持有条件的地市打造开源鸿蒙特色园区等创新载体，加快丰富各类应用。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责任单位：省工业和信息化厅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、省教育厅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bookmarkEnd w:id="39"/>
    </w:p>
    <w:p w14:paraId="4CFB1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41" w:name="_Toc14353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2.建设“齐鲁源创”开源生态。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齐鲁源创优品名录，吸纳优质开源软件产品、项目入库。推动企业、园区、高校等建设项目型、开发者型、用户型等开源社区，强化与AtomGit、Gitee等知名开源代码托管平台合作，提升开源项目孵化、社区运营、产权托管等服务能力。面向各行业数字化转型需求，加快推动金融、交通、能源、教育、医疗、政务等重点领域开发开源鸿蒙等开源操作系统版本，存量产品、系统等加快迁移适配，提升产品功能完备性和用户体验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责任单位：省工业和信息化厅、省国资委、省大数据局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bookmarkEnd w:id="41"/>
    </w:p>
    <w:p w14:paraId="6F5B0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42" w:name="_Toc19613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3.加强开源安全合规保障。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加强开源知识产权保护，营造开放、包容、安全的技术创新和应用生态。推动软件物料清单管理体系应用，完善开源代码溯源、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开源组件检测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许可证协议分析、漏洞扫描等公共服务能力建设，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帮助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企业和开发者合规使用开源软件。支持省内安全企业开展软件安全漏洞挖掘与防护技术产品研发，加大推广应用力度，提升软件供应链透明度和安全性。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责任单位：省工业和信息化厅、省委网信办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bookmarkEnd w:id="42"/>
    </w:p>
    <w:p w14:paraId="1D3FA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43" w:name="_Toc6779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4.加力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促进开源文化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推广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成立开源产业促进组织，引导大型软件企业将开源纳入发展战略。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开源校园行和开源赛事活动深入更多省内高校和园区，构建“政产学研用”协同的开源生态体系，共同促进开源软件、开放硬件、共享数据、开放标准等数字公共产品发展，营造开源发展良好氛围。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责任单位：省工业和信息化厅、省教育厅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bookmarkEnd w:id="43"/>
    </w:p>
    <w:bookmarkEnd w:id="40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3A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F17997A">
            <w:pPr>
              <w:pStyle w:val="6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专栏4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开源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  <w:t>生态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体系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  <w:t>建设工程</w:t>
            </w:r>
          </w:p>
        </w:tc>
      </w:tr>
      <w:tr w14:paraId="04F3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E61C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outlineLvl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bookmarkStart w:id="44" w:name="_Toc3112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培育开源项目与开源社区。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加强与开放原子开源基金会等国家级开源机构的合作，争取重大开源项目在山东落地。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支持省内企业参与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国产主流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开源社区、开源代码托管平台、开源基金会等基础设施建设，积极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共建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。支持头部企业将基于自主核心技术的基础性产品开源，布局一批技术先进、具有生态竞争优势的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明星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开源项目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鼓励开源项目应用国产开源许可协议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，围绕开源项目培育壮大开源社区，推动形成“齐鲁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源创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”等特色品牌。</w:t>
            </w:r>
            <w:bookmarkEnd w:id="44"/>
          </w:p>
          <w:p w14:paraId="1FC4F35D">
            <w:pPr>
              <w:adjustRightInd w:val="0"/>
              <w:snapToGrid w:val="0"/>
              <w:spacing w:after="0" w:line="560" w:lineRule="exact"/>
              <w:ind w:firstLine="562" w:firstLineChars="200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45" w:name="_Toc185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完善开源人才培养引进机制。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支持省内高校、职业院校探索产学研一体化的开源人才培养模式，推动开设开源相关课程，将开源文化、开源技术、开源实践纳入计算机、软件工程等专业教学内容。鼓励国家级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特色化示范性软件学院发挥开源人才培养示范带头作用，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培养具备开源素养的技术技能人才。鼓励企业、高校、社区联合开展开源人才培养，形成多层次、多元化的开源人才供给体系。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完善人才评价体系，鼓励开发者、科研人员、高校教师、学生参与开源贡献，将其在核心开源技术、项目及创新中的贡献纳入职称评定、评优评先重要参考。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依托省级人才工程等重点人才政策，吸引国内外优秀开源人才来鲁创新创业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  <w:bookmarkEnd w:id="45"/>
          </w:p>
        </w:tc>
      </w:tr>
    </w:tbl>
    <w:p w14:paraId="016C27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46" w:name="_Toc9107"/>
      <w:bookmarkStart w:id="47" w:name="_Toc17073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（五）培育壮大优质企业和产业集群</w:t>
      </w:r>
      <w:bookmarkEnd w:id="46"/>
      <w:bookmarkEnd w:id="47"/>
    </w:p>
    <w:p w14:paraId="1674EF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48" w:name="_Toc1653"/>
      <w:bookmarkStart w:id="49" w:name="_Toc26719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培育优质企业梯队</w:t>
      </w:r>
      <w:bookmarkEnd w:id="48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构建“微成长、小升规、规壮大”的梯次培育机制，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支持龙头企业不断创新管理机制、服务模式和商业模式，争创中国软件百强、国家鼓励的重点软件企业等。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聚焦高端软件等重点领域，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筛选一批技术潜力大、成长速度快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高成长型企业建立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省级企业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培育库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加大扶持力度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支持中小企业深耕特定行业、领域，加快卡位入链，实现“专精特新”发展。鼓励大中型制造业企业、行业龙头企业剥离软件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业务，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成立独立运营的软件企业对外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输出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专业服务。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搭建大中小企业协同发展平台，推动龙头企业与中小企业开展技术协作、资源共享等合作，形成大中小企业融通发展的良好格局。（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省工业和信息化厅、省发展改革委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、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省国资委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49"/>
    </w:p>
    <w:p w14:paraId="45BD7B7F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50" w:name="_Toc7898"/>
      <w:bookmarkStart w:id="51" w:name="_Toc7877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2.强化区域合作协同</w:t>
      </w:r>
      <w:bookmarkEnd w:id="5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统筹规划软件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空间布局与功能定位，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优化软件名城、名园、名企、名品“四名”工程。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充分发挥济南、青岛“双核”示范带动作用，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加快打造辐射周边、引领全省的两大核心集聚区。各地依托优势产业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聚焦细分领域，打造“一市一特色”软件聚集区，形成错位发展格局。立足省会经济圈、胶东经济圈、鲁南经济圈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禀赋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推动区域软件产业分工协作、一体化发展，促进人才、技术、资本等要素自由流动和高效配置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，形成“双核引领、多区联动、三圈协同”的软件产业发展格局。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省工业和信息化厅、省商务厅、省教育厅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51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88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22" w:type="dxa"/>
          </w:tcPr>
          <w:p w14:paraId="17D8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专栏5 特色产业集聚建设工程</w:t>
            </w:r>
          </w:p>
        </w:tc>
      </w:tr>
      <w:tr w14:paraId="41CB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37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塑造各地特色产业优势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支持济南发挥软件名城、工业强市优势，打造基础软件、工业软件、信息安全软件产业集群。支持青岛发挥工业互联网优势，打造工业互联网平台、海洋信息软件、智慧家居软件产业集群。鼓励烟台、潍坊、威海等市强化与“双核”的产业协作与配套衔接，形成各具特色、功能互补、联动发展的多区支撑格局。</w:t>
            </w:r>
          </w:p>
          <w:p w14:paraId="79602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加快软件园区能级提升。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齐鲁软件园、青岛市南软件园等重点园区拓展空间，完善基础设施和配套服务。依托各地特色产业优势，构建分工协作的国产软件发展体系，深化区域软件技术研发、人才培养、市场开拓等方面的合作，提升规模厚度。</w:t>
            </w:r>
          </w:p>
          <w:p w14:paraId="402A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2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聚力扶持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专精特新企业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专精特新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企业培育库，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推动省级专精特新企业、瞪羚企业等政策向软件企业倾斜，提供纳统指导、政策对接等“一对一”服务。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鼓励企业对接资本市场，拓宽融资渠道。</w:t>
            </w:r>
          </w:p>
        </w:tc>
      </w:tr>
    </w:tbl>
    <w:p w14:paraId="5C841E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52" w:name="_Toc1711"/>
      <w:bookmarkStart w:id="53" w:name="_Toc2502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（六）提升软件产业国际化水平</w:t>
      </w:r>
      <w:bookmarkEnd w:id="52"/>
      <w:bookmarkEnd w:id="53"/>
    </w:p>
    <w:p w14:paraId="6C032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54" w:name="_Toc18253"/>
      <w:bookmarkStart w:id="55" w:name="_Toc2696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1.推动软件产品与服务“出海”</w:t>
      </w:r>
      <w:bookmarkEnd w:id="5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鼓励本省企业通过海外并购、设立分支机构、服务外包等方式开拓国际市场。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支持省内企业参加“数字丝绸之路”“万企出海 鲁贸全球”“山东制造 鲁链优品”等国际市场开拓活动，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推动优秀软件产品、解决方案和服务“走出去”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。鼓励省内企业加强与“一带一路”沿线国家和地区的软件产业合作，拓宽国际视野，吸纳全球资源，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提升山东软件品牌的国际影响力。（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省工业和信息化厅、省商务厅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End w:id="55"/>
    </w:p>
    <w:tbl>
      <w:tblPr>
        <w:tblStyle w:val="16"/>
        <w:tblpPr w:leftFromText="180" w:rightFromText="180" w:vertAnchor="text" w:horzAnchor="page" w:tblpX="1964" w:tblpY="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A3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73D1675">
            <w:pPr>
              <w:pStyle w:val="6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专栏6 鲁版软件出海扬帆工程</w:t>
            </w:r>
          </w:p>
        </w:tc>
      </w:tr>
      <w:tr w14:paraId="48E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F92378">
            <w:pPr>
              <w:pStyle w:val="6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搭建高端交流合作平台。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用好进博会、投洽会等国家级展会活动，以及跨国公司领导人青岛峰会、港澳山东周等省级重大经贸活动平台，重点招引、推介高端软件产业项目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。高水平举办国际软件博览会、开源创新大赛、软件产业合作峰会等品牌活动，搭建国内外软件企业高端交流合作平台，提供政策咨询、信息交流、项目对接等服务，助力企业安全平稳出海。</w:t>
            </w:r>
          </w:p>
          <w:p w14:paraId="4C7226D1">
            <w:pPr>
              <w:pStyle w:val="6"/>
              <w:spacing w:after="0"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强化出海要素支撑保障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。完善软件出海法律服务机制，为企业提供海外知识产权保护、数据跨境合规、国际贸易争端解决等法律服务。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依托现有统建平台，推进政银企融资对接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强化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跨境结算、汇率避险、海外融资、出口信用保险等一站式金融服务，降低企业海外经营风险和资金成本压力。组织企业参加国际知名软件展会、行业峰会，发挥海外侨团、商会作用，帮助其对接当地资源。</w:t>
            </w:r>
          </w:p>
        </w:tc>
      </w:tr>
    </w:tbl>
    <w:p w14:paraId="306F1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56" w:name="_Toc21663"/>
      <w:bookmarkStart w:id="57" w:name="_Toc32576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2.吸引国际龙头企业落户</w:t>
      </w:r>
      <w:bookmarkEnd w:id="56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招商引资力度，吸引全球软件百强、人工智能领军企业等在鲁设立研发中心、开放实验室或区域总部。鼓励跨国公司与省内企业、高校、科研院所开展联合研发、人才培养等深度合作。支持济南、青岛双城提质升级，着力建设具有国际影响力的“中国软件名城”，提升对国际龙头企业的吸引力。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省商务厅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bookmarkEnd w:id="57"/>
    </w:p>
    <w:p w14:paraId="1F39FB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58" w:name="_Toc7458"/>
      <w:bookmarkStart w:id="59" w:name="_Toc22680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（七）持续优化产业发展环境</w:t>
      </w:r>
      <w:bookmarkEnd w:id="58"/>
      <w:bookmarkEnd w:id="59"/>
    </w:p>
    <w:p w14:paraId="73B0E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60" w:name="_Toc22292"/>
      <w:bookmarkStart w:id="61" w:name="_Toc6358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1.加强软件知识产权保护</w:t>
      </w:r>
      <w:bookmarkEnd w:id="6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全面推进软件正版化行动，加强软件知识产权保护，严厉打击侵权盗版行为。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推动完善与软件产业特点相适应的知识产权保护地方性法规，探索制定数字经济领域知识产权保护指引。建立软件知识产权保护“白名单”制度，对拥有核心自主知识产权的软件企业给予重点保护。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加快推进软件正版化工作，定期开展软件市场专项治理行动，净化软件市场环境。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省版权局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End w:id="61"/>
    </w:p>
    <w:p w14:paraId="0F2E4426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62" w:name="_Toc20956"/>
      <w:bookmarkStart w:id="63" w:name="_Toc214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健全重点领域标准体系</w:t>
      </w:r>
      <w:bookmarkEnd w:id="62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聚焦工业软件、人工智能、大数据、云计算、区块链等关键领域和应用场景，鼓励龙头企业、科研院所、行业协会积极参与国际标准、国家标准和行业标准的制修订工作，不断完善技术开发、产品测试、应用集成、服务交付全链条的标准体系。建立标准宣贯培训和实施评估机制，面向软件企业开展标准化知识普及，引导企业贯彻并实施标准。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省科技厅、省市场监管局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  <w:bookmarkEnd w:id="63"/>
    </w:p>
    <w:p w14:paraId="4877BB28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64" w:name="_Toc32384"/>
      <w:bookmarkStart w:id="65" w:name="_Toc10689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3.强化金融助力产融协同</w:t>
      </w:r>
      <w:bookmarkEnd w:id="64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依托产业链投融资平台，定期征集高端软件领域重点企业和项目的融资需求，密切产融供需对接。立足软件产业轻资产、高研发、缺抵押等特点，量身定制特色金融方案，创新推出务实管用的差异化金融产品，精准支持产业链发展关键领域和薄弱环节。支持龙头企业通过增资扩股、兼并重组、股权置换等形式，加快资源整合利用，成长为具有国际影响力、生态主导力的企业。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省委金融办、省工业和信息化厅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  <w:bookmarkEnd w:id="65"/>
    </w:p>
    <w:p w14:paraId="5D656EE6"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66" w:name="_Toc25232"/>
      <w:bookmarkStart w:id="67" w:name="_Toc2811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4.聚力做好人才引育</w:t>
      </w:r>
      <w:bookmarkEnd w:id="66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人才链、教育链、产业链、创新链融合发展，突出以企业为主体引进人才模式，加大技术研发和经营管理等高端人才的引进力度。支持高校软件相关学科建设，推动国家级特色化示范性软件学院建设，培养满足产业发展需求的领军型人才、复合型人才和高技能人才。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加快产业学院建设，大力推行校企共建订单班、冠名班等育人形式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责任单位：省委组织部、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省教育厅、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省科技厅、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z w:val="32"/>
          <w:szCs w:val="32"/>
        </w:rPr>
        <w:t>省工业和信息化厅、省人力资源社会保障厅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bookmarkEnd w:id="67"/>
    </w:p>
    <w:p w14:paraId="1753E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68" w:name="_Toc137"/>
      <w:bookmarkStart w:id="69" w:name="_Toc30103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三、保障措施</w:t>
      </w:r>
      <w:bookmarkEnd w:id="68"/>
      <w:bookmarkEnd w:id="69"/>
    </w:p>
    <w:p w14:paraId="1F9023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70" w:name="_Toc6268"/>
      <w:bookmarkStart w:id="71" w:name="_Toc25952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（一）加强组织协调</w:t>
      </w:r>
      <w:bookmarkEnd w:id="70"/>
      <w:bookmarkEnd w:id="71"/>
    </w:p>
    <w:p w14:paraId="7392A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2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以高端软件产业链“链长制”为主抓手，加强省市协同、部门联动、政企合作，统筹推进全省软件产业高质量发展，</w:t>
      </w:r>
      <w:r>
        <w:rPr>
          <w:rFonts w:ascii="Times New Roman" w:hAnsi="Times New Roman" w:eastAsia="仿宋_GB2312" w:cs="Times New Roman"/>
          <w:sz w:val="32"/>
          <w:szCs w:val="32"/>
        </w:rPr>
        <w:t>协同解决重大科技创新攻关、重大工程项目建设、重点行业应用推广等问题。强化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机构智库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首席专家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等专业支撑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完善政策咨询机制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发挥行业协会、产业联盟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桥梁纽带作用，推动有关各方凝聚共识、强化合力。</w:t>
      </w:r>
    </w:p>
    <w:p w14:paraId="5C77A0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72" w:name="_Toc29365"/>
      <w:bookmarkStart w:id="73" w:name="_Toc24042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（二）加大政策支持</w:t>
      </w:r>
      <w:bookmarkEnd w:id="72"/>
      <w:bookmarkEnd w:id="73"/>
    </w:p>
    <w:p w14:paraId="07AC8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筹利用现有财政资金渠道,综合采用资金奖补、股权投资、贷款贴息等方式，加大对关键技术研发、重大项目建设、人才引进培养等支持力度。积极发挥“金融链主”作用，提供精准金融服务。鼓励有条件的地市创新支持政策，吸引社会资本、金融机构共同参与，强化重点园区、企业、项目要素保障，激发产业发展活力。</w:t>
      </w:r>
    </w:p>
    <w:p w14:paraId="44B0F9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74" w:name="_Toc7772"/>
      <w:bookmarkStart w:id="75" w:name="_Toc32484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强化监测评估</w:t>
      </w:r>
      <w:bookmarkEnd w:id="74"/>
      <w:bookmarkEnd w:id="75"/>
    </w:p>
    <w:p w14:paraId="538AA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76" w:name="_Toc23279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强化软件产业运行监测，定期评估实施效果，及时研判苗头性倾向性潜在性问题，研究提出有针对性的政策措施，持续推动产业稳步增长。健全正版化工作机制，营造使用正版软件的良好氛围。</w:t>
      </w:r>
      <w:bookmarkEnd w:id="76"/>
    </w:p>
    <w:p w14:paraId="77EF3F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77" w:name="_Toc13209"/>
      <w:bookmarkStart w:id="78" w:name="_Toc19168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（四）提高安全保障</w:t>
      </w:r>
      <w:bookmarkEnd w:id="77"/>
      <w:bookmarkEnd w:id="78"/>
    </w:p>
    <w:p w14:paraId="1C14CC3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统筹发展和安全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牢固树立安全发展理念，压紧压实安全生产责任，项目遴选、资质申报、载体创建、资金奖补等工作要严把安全业绩关。强化安全生产宣传培训，组织软件企业负责人学习安全法律法规、开展模拟演练等，提升企业家队伍履行安全生产主体责任能力。督促责任主体制订全员安全生产责任清单，编制符合实际的应急预案。规范非行政检查入企行为，减轻企业负担。发挥专家在安全生产、事故防范等方面的服务咨询和专业支撑作用，强化指导帮扶，坚决防范和遏制生产亡人事故，以高水平安全保障高质量发展。</w:t>
      </w:r>
    </w:p>
    <w:sectPr>
      <w:footerReference r:id="rId10" w:type="first"/>
      <w:footerReference r:id="rId9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SansMonoCJK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AC19">
    <w:pPr>
      <w:widowControl w:val="0"/>
      <w:snapToGrid w:val="0"/>
      <w:ind w:firstLine="360" w:firstLineChars="200"/>
      <w:jc w:val="center"/>
      <w:rPr>
        <w:rFonts w:eastAsia="仿宋_GB2312" w:asciiTheme="minorHAnsi" w:hAnsiTheme="minorHAnsi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A86F0">
    <w:pPr>
      <w:widowControl w:val="0"/>
      <w:snapToGrid w:val="0"/>
      <w:ind w:firstLine="360" w:firstLineChars="200"/>
      <w:jc w:val="left"/>
      <w:rPr>
        <w:rFonts w:eastAsia="仿宋_GB2312" w:asciiTheme="minorHAnsi" w:hAnsiTheme="minorHAnsi" w:cstheme="minorBidi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E3E17">
    <w:pPr>
      <w:widowControl w:val="0"/>
      <w:snapToGrid w:val="0"/>
      <w:ind w:firstLine="360" w:firstLineChars="200"/>
      <w:jc w:val="left"/>
      <w:rPr>
        <w:rFonts w:eastAsia="仿宋_GB2312" w:asciiTheme="minorHAnsi" w:hAnsiTheme="minorHAnsi" w:cstheme="minorBidi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E23D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1E8BE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1E8BE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EEF8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FED44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FED44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1DD3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546E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5B735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4026D"/>
    <w:rsid w:val="00111D5C"/>
    <w:rsid w:val="004F3A45"/>
    <w:rsid w:val="00A45056"/>
    <w:rsid w:val="010334B8"/>
    <w:rsid w:val="013722CF"/>
    <w:rsid w:val="01CC3BD2"/>
    <w:rsid w:val="026936CC"/>
    <w:rsid w:val="029A1BD5"/>
    <w:rsid w:val="03254BA1"/>
    <w:rsid w:val="03415DEE"/>
    <w:rsid w:val="03474CCC"/>
    <w:rsid w:val="034D32A5"/>
    <w:rsid w:val="03C93A2F"/>
    <w:rsid w:val="03EF6838"/>
    <w:rsid w:val="049B09C1"/>
    <w:rsid w:val="04A36846"/>
    <w:rsid w:val="04B844FD"/>
    <w:rsid w:val="04BD7C89"/>
    <w:rsid w:val="053D4696"/>
    <w:rsid w:val="058E35AC"/>
    <w:rsid w:val="05991874"/>
    <w:rsid w:val="05DF45B1"/>
    <w:rsid w:val="06114530"/>
    <w:rsid w:val="067806C3"/>
    <w:rsid w:val="067B1CD6"/>
    <w:rsid w:val="06A96408"/>
    <w:rsid w:val="06AB4C7D"/>
    <w:rsid w:val="06B47B0B"/>
    <w:rsid w:val="06FB5D01"/>
    <w:rsid w:val="075F252B"/>
    <w:rsid w:val="077E1ED2"/>
    <w:rsid w:val="07D31699"/>
    <w:rsid w:val="07DD40F6"/>
    <w:rsid w:val="0824464A"/>
    <w:rsid w:val="085D6C82"/>
    <w:rsid w:val="086E25AC"/>
    <w:rsid w:val="08D41486"/>
    <w:rsid w:val="08F401AD"/>
    <w:rsid w:val="09767F19"/>
    <w:rsid w:val="09974051"/>
    <w:rsid w:val="09A017D8"/>
    <w:rsid w:val="0A35554F"/>
    <w:rsid w:val="0AC913B9"/>
    <w:rsid w:val="0B17653B"/>
    <w:rsid w:val="0B743473"/>
    <w:rsid w:val="0BB97C7D"/>
    <w:rsid w:val="0BBB72A3"/>
    <w:rsid w:val="0C654F6B"/>
    <w:rsid w:val="0CAE7171"/>
    <w:rsid w:val="0CB33364"/>
    <w:rsid w:val="0D0B7840"/>
    <w:rsid w:val="0D2C2DDA"/>
    <w:rsid w:val="0DCB61D5"/>
    <w:rsid w:val="0DE620DB"/>
    <w:rsid w:val="0E434D74"/>
    <w:rsid w:val="0EBD4D6C"/>
    <w:rsid w:val="0ED272EC"/>
    <w:rsid w:val="0EF667F7"/>
    <w:rsid w:val="0EFB1BB6"/>
    <w:rsid w:val="0F66607A"/>
    <w:rsid w:val="0F711E78"/>
    <w:rsid w:val="0F7B4971"/>
    <w:rsid w:val="0FFD6A39"/>
    <w:rsid w:val="1032306D"/>
    <w:rsid w:val="10394744"/>
    <w:rsid w:val="103C5091"/>
    <w:rsid w:val="10575985"/>
    <w:rsid w:val="10BF1084"/>
    <w:rsid w:val="10F63064"/>
    <w:rsid w:val="10FB64BD"/>
    <w:rsid w:val="111757BF"/>
    <w:rsid w:val="11765524"/>
    <w:rsid w:val="11843225"/>
    <w:rsid w:val="11936AB0"/>
    <w:rsid w:val="11AE2C82"/>
    <w:rsid w:val="12053420"/>
    <w:rsid w:val="121F796A"/>
    <w:rsid w:val="12320997"/>
    <w:rsid w:val="12C41A20"/>
    <w:rsid w:val="12C67B00"/>
    <w:rsid w:val="12E82452"/>
    <w:rsid w:val="12F25134"/>
    <w:rsid w:val="130645D2"/>
    <w:rsid w:val="13095E2D"/>
    <w:rsid w:val="1312127D"/>
    <w:rsid w:val="1322252B"/>
    <w:rsid w:val="13797973"/>
    <w:rsid w:val="139A4264"/>
    <w:rsid w:val="13DB3D26"/>
    <w:rsid w:val="13E11397"/>
    <w:rsid w:val="146402BC"/>
    <w:rsid w:val="14A00775"/>
    <w:rsid w:val="15031585"/>
    <w:rsid w:val="15041CE5"/>
    <w:rsid w:val="159F3008"/>
    <w:rsid w:val="15A54611"/>
    <w:rsid w:val="15E31EF8"/>
    <w:rsid w:val="164F4AA5"/>
    <w:rsid w:val="16C4196A"/>
    <w:rsid w:val="17233DFD"/>
    <w:rsid w:val="174C5181"/>
    <w:rsid w:val="17FF73C3"/>
    <w:rsid w:val="182E3DAA"/>
    <w:rsid w:val="184E0CEC"/>
    <w:rsid w:val="18D55B0F"/>
    <w:rsid w:val="18F20204"/>
    <w:rsid w:val="194D4493"/>
    <w:rsid w:val="19696253"/>
    <w:rsid w:val="19C37148"/>
    <w:rsid w:val="19C73298"/>
    <w:rsid w:val="1A273DF6"/>
    <w:rsid w:val="1A4B16F8"/>
    <w:rsid w:val="1A554870"/>
    <w:rsid w:val="1A620757"/>
    <w:rsid w:val="1A632DCB"/>
    <w:rsid w:val="1A7B7AD6"/>
    <w:rsid w:val="1A98414B"/>
    <w:rsid w:val="1ABB1F40"/>
    <w:rsid w:val="1AEC2172"/>
    <w:rsid w:val="1B297170"/>
    <w:rsid w:val="1BB30C3A"/>
    <w:rsid w:val="1C2559A9"/>
    <w:rsid w:val="1C2C0C18"/>
    <w:rsid w:val="1C4E28C1"/>
    <w:rsid w:val="1C6E1441"/>
    <w:rsid w:val="1C9233B6"/>
    <w:rsid w:val="1CBA1ADB"/>
    <w:rsid w:val="1CE44F63"/>
    <w:rsid w:val="1CE75EF8"/>
    <w:rsid w:val="1D173C32"/>
    <w:rsid w:val="1D607CD9"/>
    <w:rsid w:val="1D71611C"/>
    <w:rsid w:val="1DD36DFA"/>
    <w:rsid w:val="1DDD0B0A"/>
    <w:rsid w:val="1E154D64"/>
    <w:rsid w:val="1E1C1D60"/>
    <w:rsid w:val="1E6F503E"/>
    <w:rsid w:val="1EDF26D8"/>
    <w:rsid w:val="202A3E0D"/>
    <w:rsid w:val="20576503"/>
    <w:rsid w:val="207056E4"/>
    <w:rsid w:val="20A828EF"/>
    <w:rsid w:val="20C9153D"/>
    <w:rsid w:val="21442F49"/>
    <w:rsid w:val="215D05D9"/>
    <w:rsid w:val="217911FA"/>
    <w:rsid w:val="21A03ED2"/>
    <w:rsid w:val="221968BA"/>
    <w:rsid w:val="224A5BE0"/>
    <w:rsid w:val="22540786"/>
    <w:rsid w:val="226C233C"/>
    <w:rsid w:val="22846F00"/>
    <w:rsid w:val="22C96EF7"/>
    <w:rsid w:val="22E76282"/>
    <w:rsid w:val="22F117F9"/>
    <w:rsid w:val="230D6FE9"/>
    <w:rsid w:val="233B77C4"/>
    <w:rsid w:val="23B1534D"/>
    <w:rsid w:val="24094B18"/>
    <w:rsid w:val="244119C2"/>
    <w:rsid w:val="250B41A6"/>
    <w:rsid w:val="253C71A3"/>
    <w:rsid w:val="25A85C02"/>
    <w:rsid w:val="25D80104"/>
    <w:rsid w:val="261A0D2F"/>
    <w:rsid w:val="264665C6"/>
    <w:rsid w:val="266769A1"/>
    <w:rsid w:val="26BB5599"/>
    <w:rsid w:val="26DF3206"/>
    <w:rsid w:val="27370766"/>
    <w:rsid w:val="27C63F65"/>
    <w:rsid w:val="27C67541"/>
    <w:rsid w:val="28051183"/>
    <w:rsid w:val="283E185A"/>
    <w:rsid w:val="286E4D4F"/>
    <w:rsid w:val="28F53A4E"/>
    <w:rsid w:val="29147B84"/>
    <w:rsid w:val="29161905"/>
    <w:rsid w:val="29342F74"/>
    <w:rsid w:val="2A880384"/>
    <w:rsid w:val="2AAB7A0D"/>
    <w:rsid w:val="2AC50A50"/>
    <w:rsid w:val="2ACD1247"/>
    <w:rsid w:val="2B7319D4"/>
    <w:rsid w:val="2BD43FF7"/>
    <w:rsid w:val="2BD8717A"/>
    <w:rsid w:val="2BF068A1"/>
    <w:rsid w:val="2BFC1846"/>
    <w:rsid w:val="2C1F43EF"/>
    <w:rsid w:val="2CB67C99"/>
    <w:rsid w:val="2CDF6D1C"/>
    <w:rsid w:val="2DAE6A6F"/>
    <w:rsid w:val="2DF74EA0"/>
    <w:rsid w:val="2E287CB1"/>
    <w:rsid w:val="2E672DD3"/>
    <w:rsid w:val="2EC44A35"/>
    <w:rsid w:val="2F3D1F5C"/>
    <w:rsid w:val="2F574888"/>
    <w:rsid w:val="2F786708"/>
    <w:rsid w:val="30406546"/>
    <w:rsid w:val="304871D6"/>
    <w:rsid w:val="30777594"/>
    <w:rsid w:val="30A84C86"/>
    <w:rsid w:val="30CF5A24"/>
    <w:rsid w:val="30FE0F8B"/>
    <w:rsid w:val="310C5A7B"/>
    <w:rsid w:val="31207052"/>
    <w:rsid w:val="313D4197"/>
    <w:rsid w:val="31D86649"/>
    <w:rsid w:val="31F07FF6"/>
    <w:rsid w:val="32466B0F"/>
    <w:rsid w:val="32802193"/>
    <w:rsid w:val="3300481C"/>
    <w:rsid w:val="33706EEB"/>
    <w:rsid w:val="339F310D"/>
    <w:rsid w:val="33B65581"/>
    <w:rsid w:val="33F84817"/>
    <w:rsid w:val="34334E3E"/>
    <w:rsid w:val="344250FD"/>
    <w:rsid w:val="34595DFD"/>
    <w:rsid w:val="34C1339B"/>
    <w:rsid w:val="35060887"/>
    <w:rsid w:val="35085504"/>
    <w:rsid w:val="355359F9"/>
    <w:rsid w:val="3597400A"/>
    <w:rsid w:val="364A580B"/>
    <w:rsid w:val="367B5BEF"/>
    <w:rsid w:val="369C19A7"/>
    <w:rsid w:val="36F952B1"/>
    <w:rsid w:val="372E5DD5"/>
    <w:rsid w:val="37B23658"/>
    <w:rsid w:val="37D808EB"/>
    <w:rsid w:val="383145B0"/>
    <w:rsid w:val="38CB25B7"/>
    <w:rsid w:val="390253AC"/>
    <w:rsid w:val="39160DB7"/>
    <w:rsid w:val="394D348F"/>
    <w:rsid w:val="396C0A2C"/>
    <w:rsid w:val="39C80763"/>
    <w:rsid w:val="39D43212"/>
    <w:rsid w:val="3AC10CF0"/>
    <w:rsid w:val="3AF37D14"/>
    <w:rsid w:val="3B5D09CE"/>
    <w:rsid w:val="3BDF37C8"/>
    <w:rsid w:val="3BE60C08"/>
    <w:rsid w:val="3BEF256F"/>
    <w:rsid w:val="3C73403C"/>
    <w:rsid w:val="3D080D91"/>
    <w:rsid w:val="3D556E16"/>
    <w:rsid w:val="3D863374"/>
    <w:rsid w:val="3DE44FD6"/>
    <w:rsid w:val="3ECD2B96"/>
    <w:rsid w:val="3EEB7F48"/>
    <w:rsid w:val="3EF56EBF"/>
    <w:rsid w:val="3EFA2761"/>
    <w:rsid w:val="3F3570C3"/>
    <w:rsid w:val="3F3A620B"/>
    <w:rsid w:val="3FA73B7E"/>
    <w:rsid w:val="3FBA731C"/>
    <w:rsid w:val="402E72DA"/>
    <w:rsid w:val="40325CE1"/>
    <w:rsid w:val="40635219"/>
    <w:rsid w:val="40AF31D4"/>
    <w:rsid w:val="412A075C"/>
    <w:rsid w:val="41B90FE0"/>
    <w:rsid w:val="42181B5C"/>
    <w:rsid w:val="42232C0D"/>
    <w:rsid w:val="426B4687"/>
    <w:rsid w:val="42E142C5"/>
    <w:rsid w:val="431922FC"/>
    <w:rsid w:val="431A58DF"/>
    <w:rsid w:val="43367D0B"/>
    <w:rsid w:val="439571FA"/>
    <w:rsid w:val="43D967FE"/>
    <w:rsid w:val="43E64CC4"/>
    <w:rsid w:val="441478F0"/>
    <w:rsid w:val="442712C7"/>
    <w:rsid w:val="44CB096E"/>
    <w:rsid w:val="454163AE"/>
    <w:rsid w:val="458C5EA1"/>
    <w:rsid w:val="45DB5837"/>
    <w:rsid w:val="460811F7"/>
    <w:rsid w:val="464A5E88"/>
    <w:rsid w:val="473A3F6A"/>
    <w:rsid w:val="474175EF"/>
    <w:rsid w:val="475D726A"/>
    <w:rsid w:val="476B1940"/>
    <w:rsid w:val="476F1BC4"/>
    <w:rsid w:val="47812160"/>
    <w:rsid w:val="481F4681"/>
    <w:rsid w:val="483F5421"/>
    <w:rsid w:val="4868240F"/>
    <w:rsid w:val="4883440E"/>
    <w:rsid w:val="48D40079"/>
    <w:rsid w:val="49952A22"/>
    <w:rsid w:val="49DB68A7"/>
    <w:rsid w:val="4A6E0A63"/>
    <w:rsid w:val="4AAD5BAC"/>
    <w:rsid w:val="4AB97053"/>
    <w:rsid w:val="4AFC6372"/>
    <w:rsid w:val="4B44369F"/>
    <w:rsid w:val="4BE07096"/>
    <w:rsid w:val="4C18340E"/>
    <w:rsid w:val="4C1F7DAB"/>
    <w:rsid w:val="4C5C7A55"/>
    <w:rsid w:val="4C756F9F"/>
    <w:rsid w:val="4CA169B4"/>
    <w:rsid w:val="4D0D0E8F"/>
    <w:rsid w:val="4D44596B"/>
    <w:rsid w:val="4D6A5971"/>
    <w:rsid w:val="4D70524A"/>
    <w:rsid w:val="4DD94564"/>
    <w:rsid w:val="4E3C6BD2"/>
    <w:rsid w:val="4E5B5B21"/>
    <w:rsid w:val="4E925E32"/>
    <w:rsid w:val="4EAE2FD1"/>
    <w:rsid w:val="4F52422F"/>
    <w:rsid w:val="4F5460C1"/>
    <w:rsid w:val="4F672C0A"/>
    <w:rsid w:val="4F752D0F"/>
    <w:rsid w:val="50881B57"/>
    <w:rsid w:val="508F2B4D"/>
    <w:rsid w:val="50B22B30"/>
    <w:rsid w:val="516E79EA"/>
    <w:rsid w:val="51802646"/>
    <w:rsid w:val="519F1317"/>
    <w:rsid w:val="51B92818"/>
    <w:rsid w:val="51CA3CFC"/>
    <w:rsid w:val="52334D5C"/>
    <w:rsid w:val="5257049F"/>
    <w:rsid w:val="5269793F"/>
    <w:rsid w:val="52D34070"/>
    <w:rsid w:val="52F34726"/>
    <w:rsid w:val="52FC0FC0"/>
    <w:rsid w:val="53567777"/>
    <w:rsid w:val="53BB26FE"/>
    <w:rsid w:val="540C4F85"/>
    <w:rsid w:val="54384414"/>
    <w:rsid w:val="545D7674"/>
    <w:rsid w:val="547F3EAC"/>
    <w:rsid w:val="54EB4EAE"/>
    <w:rsid w:val="553C580D"/>
    <w:rsid w:val="55AD1A38"/>
    <w:rsid w:val="55F24A80"/>
    <w:rsid w:val="56062A2F"/>
    <w:rsid w:val="56250694"/>
    <w:rsid w:val="56266E42"/>
    <w:rsid w:val="5657389C"/>
    <w:rsid w:val="5661471A"/>
    <w:rsid w:val="5699366D"/>
    <w:rsid w:val="56BD79F7"/>
    <w:rsid w:val="56C07437"/>
    <w:rsid w:val="56E472DC"/>
    <w:rsid w:val="574B06C0"/>
    <w:rsid w:val="57542971"/>
    <w:rsid w:val="57650F48"/>
    <w:rsid w:val="579D1819"/>
    <w:rsid w:val="57AC1E66"/>
    <w:rsid w:val="57B57870"/>
    <w:rsid w:val="58366547"/>
    <w:rsid w:val="58AC53B7"/>
    <w:rsid w:val="58FB51C1"/>
    <w:rsid w:val="58FC23C3"/>
    <w:rsid w:val="59951BF0"/>
    <w:rsid w:val="599D6D92"/>
    <w:rsid w:val="5A0A0A74"/>
    <w:rsid w:val="5A120EC2"/>
    <w:rsid w:val="5A3255A1"/>
    <w:rsid w:val="5A36157C"/>
    <w:rsid w:val="5A3742E0"/>
    <w:rsid w:val="5A392494"/>
    <w:rsid w:val="5A81009A"/>
    <w:rsid w:val="5B045352"/>
    <w:rsid w:val="5B15149C"/>
    <w:rsid w:val="5B5871CA"/>
    <w:rsid w:val="5CB0091F"/>
    <w:rsid w:val="5CE30530"/>
    <w:rsid w:val="5CE44247"/>
    <w:rsid w:val="5D086DAF"/>
    <w:rsid w:val="5D131249"/>
    <w:rsid w:val="5D253BA0"/>
    <w:rsid w:val="5D61527D"/>
    <w:rsid w:val="5D874814"/>
    <w:rsid w:val="5DC37B9A"/>
    <w:rsid w:val="5DE37938"/>
    <w:rsid w:val="5E9F7AEB"/>
    <w:rsid w:val="5ED660A5"/>
    <w:rsid w:val="5EED7BC4"/>
    <w:rsid w:val="5EFE5910"/>
    <w:rsid w:val="5F6B6599"/>
    <w:rsid w:val="5FA33501"/>
    <w:rsid w:val="5FCE083C"/>
    <w:rsid w:val="5FFF71C4"/>
    <w:rsid w:val="600C1BC5"/>
    <w:rsid w:val="607F0855"/>
    <w:rsid w:val="60903526"/>
    <w:rsid w:val="60C22C79"/>
    <w:rsid w:val="60CE7B5E"/>
    <w:rsid w:val="60DA41F1"/>
    <w:rsid w:val="60E26F9B"/>
    <w:rsid w:val="60EA448B"/>
    <w:rsid w:val="61651712"/>
    <w:rsid w:val="617D7926"/>
    <w:rsid w:val="618D1578"/>
    <w:rsid w:val="619D42CF"/>
    <w:rsid w:val="61E4026D"/>
    <w:rsid w:val="62970C2B"/>
    <w:rsid w:val="636430B3"/>
    <w:rsid w:val="63AA1E11"/>
    <w:rsid w:val="63AD5963"/>
    <w:rsid w:val="63D61FE2"/>
    <w:rsid w:val="64006F9C"/>
    <w:rsid w:val="64537570"/>
    <w:rsid w:val="646137FF"/>
    <w:rsid w:val="64771CDA"/>
    <w:rsid w:val="64B24842"/>
    <w:rsid w:val="64FB0ADF"/>
    <w:rsid w:val="65354E1B"/>
    <w:rsid w:val="65D33291"/>
    <w:rsid w:val="65FE2CB0"/>
    <w:rsid w:val="669F0A3E"/>
    <w:rsid w:val="66C642AD"/>
    <w:rsid w:val="66DD064E"/>
    <w:rsid w:val="66DF3E2E"/>
    <w:rsid w:val="66FF1B13"/>
    <w:rsid w:val="67953680"/>
    <w:rsid w:val="68A21BEC"/>
    <w:rsid w:val="68A63C48"/>
    <w:rsid w:val="68D66149"/>
    <w:rsid w:val="68E14AFF"/>
    <w:rsid w:val="696A6B79"/>
    <w:rsid w:val="698C7750"/>
    <w:rsid w:val="69987CD2"/>
    <w:rsid w:val="6A886ED6"/>
    <w:rsid w:val="6ACF5C83"/>
    <w:rsid w:val="6AFE6194"/>
    <w:rsid w:val="6B172995"/>
    <w:rsid w:val="6B1B1DDF"/>
    <w:rsid w:val="6B673164"/>
    <w:rsid w:val="6CE2570A"/>
    <w:rsid w:val="6CE322E1"/>
    <w:rsid w:val="6D035033"/>
    <w:rsid w:val="6D0B122D"/>
    <w:rsid w:val="6D2E042E"/>
    <w:rsid w:val="6D640B44"/>
    <w:rsid w:val="6DBF2334"/>
    <w:rsid w:val="6DFF1251"/>
    <w:rsid w:val="6E311B49"/>
    <w:rsid w:val="6E431FC8"/>
    <w:rsid w:val="6EFE06AA"/>
    <w:rsid w:val="6F200B05"/>
    <w:rsid w:val="6F8D2708"/>
    <w:rsid w:val="6F942A5B"/>
    <w:rsid w:val="6FAA4F3F"/>
    <w:rsid w:val="6FAD66F2"/>
    <w:rsid w:val="70276ECC"/>
    <w:rsid w:val="70453E20"/>
    <w:rsid w:val="70460AAF"/>
    <w:rsid w:val="70553DF8"/>
    <w:rsid w:val="70992760"/>
    <w:rsid w:val="70B24C1F"/>
    <w:rsid w:val="70EB3C4B"/>
    <w:rsid w:val="7102177D"/>
    <w:rsid w:val="7129223D"/>
    <w:rsid w:val="71507806"/>
    <w:rsid w:val="715A58D2"/>
    <w:rsid w:val="718F6BCD"/>
    <w:rsid w:val="71921657"/>
    <w:rsid w:val="71DC5E33"/>
    <w:rsid w:val="71F41601"/>
    <w:rsid w:val="721257BE"/>
    <w:rsid w:val="72500704"/>
    <w:rsid w:val="72813E27"/>
    <w:rsid w:val="728B7844"/>
    <w:rsid w:val="72A46970"/>
    <w:rsid w:val="73615C51"/>
    <w:rsid w:val="736B449F"/>
    <w:rsid w:val="73BC63B1"/>
    <w:rsid w:val="73CC2623"/>
    <w:rsid w:val="73D44661"/>
    <w:rsid w:val="73D532BD"/>
    <w:rsid w:val="7401264B"/>
    <w:rsid w:val="74040976"/>
    <w:rsid w:val="74315421"/>
    <w:rsid w:val="745B7679"/>
    <w:rsid w:val="74634760"/>
    <w:rsid w:val="746604A7"/>
    <w:rsid w:val="74736A97"/>
    <w:rsid w:val="748E6222"/>
    <w:rsid w:val="748F4EA8"/>
    <w:rsid w:val="74BA7091"/>
    <w:rsid w:val="74D15982"/>
    <w:rsid w:val="751E0BB4"/>
    <w:rsid w:val="7521758F"/>
    <w:rsid w:val="75822173"/>
    <w:rsid w:val="764566AC"/>
    <w:rsid w:val="764616F2"/>
    <w:rsid w:val="76A832F7"/>
    <w:rsid w:val="76BE2476"/>
    <w:rsid w:val="76C73F63"/>
    <w:rsid w:val="771A083D"/>
    <w:rsid w:val="773F135E"/>
    <w:rsid w:val="774F434C"/>
    <w:rsid w:val="776E1C43"/>
    <w:rsid w:val="77AC7CDA"/>
    <w:rsid w:val="77B73DE0"/>
    <w:rsid w:val="78312740"/>
    <w:rsid w:val="787F3721"/>
    <w:rsid w:val="78885A12"/>
    <w:rsid w:val="78BD13AA"/>
    <w:rsid w:val="791A693D"/>
    <w:rsid w:val="796A5940"/>
    <w:rsid w:val="796F3D0F"/>
    <w:rsid w:val="799D4B73"/>
    <w:rsid w:val="79CD59E4"/>
    <w:rsid w:val="79E44D9A"/>
    <w:rsid w:val="7A21264E"/>
    <w:rsid w:val="7AB657CA"/>
    <w:rsid w:val="7AEC232E"/>
    <w:rsid w:val="7B08721E"/>
    <w:rsid w:val="7B4D42E4"/>
    <w:rsid w:val="7B95521D"/>
    <w:rsid w:val="7C2225FB"/>
    <w:rsid w:val="7C842FCD"/>
    <w:rsid w:val="7CA8362A"/>
    <w:rsid w:val="7CE97914"/>
    <w:rsid w:val="7CF30482"/>
    <w:rsid w:val="7D06612B"/>
    <w:rsid w:val="7D617346"/>
    <w:rsid w:val="7D830F78"/>
    <w:rsid w:val="7D861EFD"/>
    <w:rsid w:val="7D974631"/>
    <w:rsid w:val="7DAE0592"/>
    <w:rsid w:val="7DC47E0B"/>
    <w:rsid w:val="7DC67225"/>
    <w:rsid w:val="7DE0330A"/>
    <w:rsid w:val="7E20458C"/>
    <w:rsid w:val="7E2A2354"/>
    <w:rsid w:val="7EB51F05"/>
    <w:rsid w:val="7EF016C8"/>
    <w:rsid w:val="7F0C595B"/>
    <w:rsid w:val="7F2162F3"/>
    <w:rsid w:val="7F4C3DE7"/>
    <w:rsid w:val="7F5F5A07"/>
    <w:rsid w:val="7FFD4D5B"/>
    <w:rsid w:val="C1BD7472"/>
    <w:rsid w:val="EF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rFonts w:eastAsia="宋体"/>
      <w:sz w:val="30"/>
    </w:rPr>
  </w:style>
  <w:style w:type="paragraph" w:styleId="7">
    <w:name w:val="Body Text First Indent 2"/>
    <w:basedOn w:val="8"/>
    <w:next w:val="1"/>
    <w:qFormat/>
    <w:uiPriority w:val="0"/>
    <w:pPr>
      <w:ind w:firstLine="4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eastAsia="仿宋_GB2312" w:asciiTheme="minorHAnsi" w:hAnsiTheme="minorHAnsi" w:cstheme="minorBidi"/>
      <w:kern w:val="2"/>
      <w:sz w:val="18"/>
      <w:szCs w:val="18"/>
      <w:lang w:val="en-US" w:eastAsia="zh-CN" w:bidi="ar-SA"/>
    </w:rPr>
  </w:style>
  <w:style w:type="paragraph" w:styleId="12">
    <w:name w:val="toc 1"/>
    <w:basedOn w:val="1"/>
    <w:next w:val="1"/>
    <w:qFormat/>
    <w:uiPriority w:val="0"/>
    <w:pPr>
      <w:spacing w:line="540" w:lineRule="exact"/>
      <w:ind w:right="-85" w:rightChars="-27" w:firstLine="200" w:firstLineChars="200"/>
    </w:pPr>
    <w:rPr>
      <w:rFonts w:ascii="仿宋_GB2312" w:hAnsi="仿宋_GB2312" w:eastAsia="黑体" w:cs="仿宋_GB2312"/>
      <w:sz w:val="28"/>
      <w:szCs w:val="22"/>
    </w:rPr>
  </w:style>
  <w:style w:type="paragraph" w:styleId="13">
    <w:name w:val="toc 2"/>
    <w:next w:val="1"/>
    <w:qFormat/>
    <w:uiPriority w:val="39"/>
    <w:pPr>
      <w:widowControl w:val="0"/>
      <w:ind w:left="420" w:leftChars="200"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14">
    <w:name w:val="Normal (Web)"/>
    <w:basedOn w:val="1"/>
    <w:qFormat/>
    <w:uiPriority w:val="0"/>
    <w:rPr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fontstyle01"/>
    <w:basedOn w:val="17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22">
    <w:name w:val="fontstyle21"/>
    <w:basedOn w:val="17"/>
    <w:qFormat/>
    <w:uiPriority w:val="0"/>
    <w:rPr>
      <w:rFonts w:ascii="NotoSansMonoCJKsc-Regular" w:hAnsi="NotoSansMonoCJKsc-Regular" w:eastAsia="NotoSansMonoCJKsc-Regular" w:cs="NotoSansMonoCJKsc-Regular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e47bba79-ee26-4554-9106-db3166833467</errorID>
      <errorWord>亡人事故</errorWord>
      <group>L1_Word</group>
      <groupName>字词问题</groupName>
      <ability>L2_Typo</ability>
      <abilityName>字词错误</abilityName>
      <candidateList>
        <item>安全事故</item>
      </candidateList>
      <explain/>
      <paraID>1C14CC39</paraID>
      <start>214</start>
      <end>218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a8955-2084-4e8e-ad92-f83f93cc4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4935</Words>
  <Characters>5037</Characters>
  <Lines>0</Lines>
  <Paragraphs>0</Paragraphs>
  <TotalTime>0</TotalTime>
  <ScaleCrop>false</ScaleCrop>
  <LinksUpToDate>false</LinksUpToDate>
  <CharactersWithSpaces>5083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2026-02-04T13:40:00Z</dcterms:created>
  <dc:creator>wsy</dc:creator>
  <cp:lastModifiedBy>习惯</cp:lastModifiedBy>
  <cp:lastPrinted>2026-02-27T13:35:00Z</cp:lastPrinted>
  <dcterms:modified xsi:type="dcterms:W3CDTF">2026-06-10T02:26:45Z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13E040A645FB4BD0A5E20C98DB1CFC55_13</vt:lpwstr>
  </property>
  <property fmtid="{D5CDD505-2E9C-101B-9397-08002B2CF9AE}" pid="4" name="KSOTemplateDocerSaveRecord">
    <vt:lpwstr>eyJoZGlkIjoiYWViZWRiMTQzN2E1YWJjOWM5OWU4NjhkNmVjZDlmZjEiLCJ1c2VySWQiOiI2ODgxMTEzNDEifQ==</vt:lpwstr>
  </property>
</Properties>
</file>