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body>
    <w:p w14:paraId="0B7A11B9">
      <w:pPr>
        <w:spacing w:line="600" w:lineRule="exact"/>
        <w:jc w:val="center"/>
        <w:rPr>
          <w:rFonts w:hint="eastAsia" w:ascii="方正小标宋简体" w:eastAsia="方正小标宋简体"/>
          <w:color w:val="000000"/>
          <w:sz w:val="44"/>
          <w:szCs w:val="44"/>
        </w:rPr>
      </w:pPr>
    </w:p>
    <w:p w14:paraId="780597AA">
      <w:pPr>
        <w:spacing w:line="600" w:lineRule="exact"/>
        <w:jc w:val="center"/>
        <w:rPr>
          <w:rFonts w:hint="eastAsia" w:ascii="方正小标宋简体" w:hAnsi="仿宋_GB2312" w:eastAsia="方正小标宋简体" w:cs="仿宋_GB2312"/>
          <w:color w:val="000000"/>
          <w:sz w:val="44"/>
          <w:szCs w:val="44"/>
        </w:rPr>
      </w:pPr>
    </w:p>
    <w:p w14:paraId="0EAB14B9">
      <w:pPr>
        <w:spacing w:line="600" w:lineRule="exact"/>
        <w:jc w:val="center"/>
        <w:rPr>
          <w:rFonts w:hint="eastAsia" w:ascii="方正小标宋简体" w:hAnsi="仿宋_GB2312" w:eastAsia="方正小标宋简体" w:cs="仿宋_GB2312"/>
          <w:color w:val="000000"/>
          <w:sz w:val="44"/>
          <w:szCs w:val="44"/>
        </w:rPr>
      </w:pPr>
      <w:r>
        <w:rPr>
          <w:rFonts w:hint="eastAsia" w:ascii="方正小标宋简体" w:hAnsi="仿宋_GB2312" w:eastAsia="方正小标宋简体" w:cs="仿宋_GB2312"/>
          <w:color w:val="000000"/>
          <w:sz w:val="44"/>
          <w:szCs w:val="44"/>
        </w:rPr>
        <w:t>山东省机器人产业高质量发展行动计划（2025-2027年）</w:t>
      </w:r>
    </w:p>
    <w:p w14:paraId="20ED04DA">
      <w:pPr>
        <w:spacing w:line="600" w:lineRule="exact"/>
        <w:jc w:val="center"/>
        <w:rPr>
          <w:rFonts w:hint="eastAsia" w:ascii="楷体_GB2312" w:hAnsi="仿宋_GB2312" w:eastAsia="楷体_GB2312" w:cs="仿宋_GB2312"/>
          <w:color w:val="000000"/>
          <w:sz w:val="36"/>
          <w:szCs w:val="36"/>
        </w:rPr>
      </w:pPr>
      <w:r>
        <w:rPr>
          <w:rFonts w:hint="eastAsia" w:ascii="楷体_GB2312" w:hAnsi="仿宋_GB2312" w:eastAsia="楷体_GB2312" w:cs="仿宋_GB2312"/>
          <w:color w:val="000000"/>
          <w:sz w:val="36"/>
          <w:szCs w:val="36"/>
        </w:rPr>
        <w:t>（</w:t>
      </w:r>
      <w:r>
        <w:rPr>
          <w:rFonts w:hint="eastAsia" w:ascii="楷体_GB2312" w:hAnsi="仿宋_GB2312" w:eastAsia="楷体_GB2312" w:cs="仿宋_GB2312"/>
          <w:color w:val="000000"/>
          <w:sz w:val="36"/>
          <w:szCs w:val="36"/>
          <w:lang w:eastAsia="zh-CN"/>
        </w:rPr>
        <w:t>征求意见稿</w:t>
      </w:r>
      <w:r>
        <w:rPr>
          <w:rFonts w:hint="eastAsia" w:ascii="楷体_GB2312" w:hAnsi="仿宋_GB2312" w:eastAsia="楷体_GB2312" w:cs="仿宋_GB2312"/>
          <w:color w:val="000000"/>
          <w:sz w:val="36"/>
          <w:szCs w:val="36"/>
        </w:rPr>
        <w:t xml:space="preserve">） </w:t>
      </w:r>
    </w:p>
    <w:p w14:paraId="24FC088C">
      <w:pPr>
        <w:spacing w:line="600" w:lineRule="exact"/>
        <w:ind w:firstLine="640" w:firstLineChars="200"/>
        <w:rPr>
          <w:rFonts w:hint="eastAsia" w:ascii="仿宋_GB2312" w:hAnsi="仿宋_GB2312" w:eastAsia="仿宋_GB2312" w:cs="仿宋_GB2312"/>
          <w:color w:val="000000"/>
          <w:sz w:val="32"/>
          <w:szCs w:val="32"/>
        </w:rPr>
      </w:pPr>
    </w:p>
    <w:p w14:paraId="56BEB45A">
      <w:pPr>
        <w:ind w:firstLine="640" w:firstLineChars="200"/>
        <w:rPr>
          <w:rFonts w:hint="eastAsia" w:ascii="仿宋_GB2312" w:hAnsi="仿宋_GB2312" w:eastAsia="仿宋_GB2312" w:cs="仿宋_GB2312"/>
          <w:color w:val="000000"/>
          <w:sz w:val="32"/>
          <w:szCs w:val="32"/>
        </w:rPr>
      </w:pPr>
      <w:bookmarkStart w:id="17" w:name="_GoBack"/>
      <w:r>
        <w:rPr>
          <w:rFonts w:hint="eastAsia" w:ascii="仿宋_GB2312" w:hAnsi="仿宋_GB2312" w:eastAsia="仿宋_GB2312" w:cs="仿宋_GB2312"/>
          <w:color w:val="000000"/>
          <w:sz w:val="32"/>
          <w:szCs w:val="32"/>
        </w:rPr>
        <w:t>为深入贯彻落实省委、省政府关于因地制宜发展新质生产力的部署要求，加快推动我省机器人产业高质量发展，高水平推进新型工业化，</w:t>
      </w:r>
      <w:r>
        <w:rPr>
          <w:rFonts w:hint="eastAsia" w:ascii="仿宋_GB2312" w:hAnsi="仿宋_GB2312" w:eastAsia="仿宋_GB2312" w:cs="仿宋_GB2312"/>
          <w:color w:val="000000"/>
          <w:sz w:val="32"/>
          <w:szCs w:val="32"/>
          <w:highlight w:val="none"/>
          <w:lang w:eastAsia="zh-CN"/>
        </w:rPr>
        <w:t>助力</w:t>
      </w:r>
      <w:r>
        <w:rPr>
          <w:rFonts w:hint="eastAsia" w:ascii="仿宋_GB2312" w:hAnsi="仿宋_GB2312" w:eastAsia="仿宋_GB2312" w:cs="仿宋_GB2312"/>
          <w:color w:val="000000"/>
          <w:sz w:val="32"/>
          <w:szCs w:val="32"/>
          <w:highlight w:val="none"/>
        </w:rPr>
        <w:t>先进制</w:t>
      </w:r>
      <w:r>
        <w:rPr>
          <w:rFonts w:hint="eastAsia" w:ascii="仿宋_GB2312" w:hAnsi="仿宋_GB2312" w:eastAsia="仿宋_GB2312" w:cs="仿宋_GB2312"/>
          <w:color w:val="000000"/>
          <w:sz w:val="32"/>
          <w:szCs w:val="32"/>
        </w:rPr>
        <w:t>造业强省建设，</w:t>
      </w:r>
      <w:bookmarkEnd w:id="17"/>
      <w:r>
        <w:rPr>
          <w:rFonts w:hint="eastAsia" w:ascii="仿宋_GB2312" w:hAnsi="仿宋_GB2312" w:eastAsia="仿宋_GB2312" w:cs="仿宋_GB2312"/>
          <w:color w:val="000000"/>
          <w:sz w:val="32"/>
          <w:szCs w:val="32"/>
        </w:rPr>
        <w:t>制定本行动计划。</w:t>
      </w:r>
    </w:p>
    <w:p w14:paraId="7F70477C">
      <w:pPr>
        <w:spacing w:line="60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一、总体要求</w:t>
      </w:r>
    </w:p>
    <w:p w14:paraId="7B16EE35">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深入贯彻党的二十大和二十届二中、三中全会精神，抢抓机器人智能化、服务化、类人化发展机遇，加强人工智能与机器人产业深度融合，推动产品从传统作业模式向具身智能作业模式转变、从中低端应用场景向中高端领域拓展，加快培育一批特色优质企业，着力打造全国机器人研发制造增长极和示范应用新高地。力争到2027年，培育产值超20亿元的机器人制造领军企业3家以上，布局建设覆盖工业、服务、特种和人形机器人四大领域的关键创新平台，机器人制造产业规模突破500亿元，在装备制造、高端化工、智能家电、智慧农业、医疗康养、安全应急、警务运行、智慧矿山、文化教育等领域形成一批典型场景，机器人产业科技创新能力和发展质效明显提升。</w:t>
      </w:r>
    </w:p>
    <w:p w14:paraId="48C23542">
      <w:pPr>
        <w:spacing w:line="60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二、主要任务</w:t>
      </w:r>
    </w:p>
    <w:p w14:paraId="17A4F608">
      <w:pPr>
        <w:spacing w:line="60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（一）推动关键技术创新</w:t>
      </w:r>
    </w:p>
    <w:p w14:paraId="59BDDA68">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1.加强前瞻技术布局。</w:t>
      </w:r>
      <w:r>
        <w:rPr>
          <w:rFonts w:hint="eastAsia" w:ascii="仿宋_GB2312" w:hAnsi="仿宋_GB2312" w:eastAsia="仿宋_GB2312" w:cs="仿宋_GB2312"/>
          <w:color w:val="000000"/>
          <w:sz w:val="32"/>
          <w:szCs w:val="32"/>
          <w:shd w:val="clear" w:color="auto" w:fill="FFFFFF"/>
        </w:rPr>
        <w:t>把机器人前沿技术和关键装备列入省级</w:t>
      </w:r>
      <w:r>
        <w:rPr>
          <w:rFonts w:hint="eastAsia" w:ascii="仿宋_GB2312" w:hAnsi="仿宋_GB2312" w:eastAsia="仿宋_GB2312" w:cs="仿宋_GB2312"/>
          <w:color w:val="000000"/>
          <w:sz w:val="32"/>
          <w:szCs w:val="32"/>
        </w:rPr>
        <w:t>科技计划</w:t>
      </w:r>
      <w:r>
        <w:rPr>
          <w:rFonts w:hint="eastAsia" w:ascii="仿宋_GB2312" w:hAnsi="仿宋_GB2312" w:eastAsia="仿宋_GB2312" w:cs="仿宋_GB2312"/>
          <w:color w:val="000000"/>
          <w:sz w:val="32"/>
          <w:szCs w:val="32"/>
          <w:shd w:val="clear" w:color="auto" w:fill="FFFFFF"/>
        </w:rPr>
        <w:t>重点方向，突破机器人人工智能算法、机器视觉算法、高精度传感器、先进伺服系统、智能运维等关键核心技术，加快与元宇宙、脑机接口等前沿技术融合，探索跨学科、跨领域的创新模式，</w:t>
      </w:r>
      <w:r>
        <w:rPr>
          <w:rFonts w:hint="eastAsia" w:ascii="仿宋_GB2312" w:hAnsi="仿宋_GB2312" w:eastAsia="仿宋_GB2312" w:cs="仿宋_GB2312"/>
          <w:color w:val="000000"/>
          <w:sz w:val="32"/>
          <w:szCs w:val="32"/>
        </w:rPr>
        <w:t>聚焦</w:t>
      </w:r>
      <w:r>
        <w:rPr>
          <w:rFonts w:hint="eastAsia" w:ascii="仿宋_GB2312" w:hAnsi="仿宋_GB2312" w:eastAsia="仿宋_GB2312" w:cs="仿宋_GB2312"/>
          <w:color w:val="000000"/>
          <w:sz w:val="32"/>
          <w:szCs w:val="32"/>
          <w:lang w:eastAsia="zh-CN"/>
        </w:rPr>
        <w:t>产业</w:t>
      </w:r>
      <w:r>
        <w:rPr>
          <w:rFonts w:hint="eastAsia" w:ascii="仿宋_GB2312" w:hAnsi="仿宋_GB2312" w:eastAsia="仿宋_GB2312" w:cs="仿宋_GB2312"/>
          <w:color w:val="000000"/>
          <w:sz w:val="32"/>
          <w:szCs w:val="32"/>
        </w:rPr>
        <w:t>技术需求，实施关键技术攻关和企业技术问题解决“揭榜挂帅”升级版，</w:t>
      </w:r>
      <w:r>
        <w:rPr>
          <w:rFonts w:hint="eastAsia" w:ascii="仿宋_GB2312" w:hAnsi="仿宋_GB2312" w:eastAsia="仿宋_GB2312" w:cs="仿宋_GB2312"/>
          <w:color w:val="000000"/>
          <w:sz w:val="32"/>
          <w:szCs w:val="32"/>
          <w:highlight w:val="none"/>
        </w:rPr>
        <w:t>对符合条件的重大技术突破</w:t>
      </w:r>
      <w:r>
        <w:rPr>
          <w:rFonts w:hint="eastAsia" w:ascii="仿宋_GB2312" w:hAnsi="仿宋_GB2312" w:eastAsia="仿宋_GB2312" w:cs="仿宋_GB2312"/>
          <w:color w:val="000000"/>
          <w:sz w:val="32"/>
          <w:szCs w:val="32"/>
          <w:highlight w:val="none"/>
          <w:lang w:eastAsia="zh-CN"/>
        </w:rPr>
        <w:t>按规定</w:t>
      </w:r>
      <w:r>
        <w:rPr>
          <w:rFonts w:hint="eastAsia" w:ascii="仿宋_GB2312" w:hAnsi="仿宋_GB2312" w:eastAsia="仿宋_GB2312" w:cs="仿宋_GB2312"/>
          <w:color w:val="000000"/>
          <w:sz w:val="32"/>
          <w:szCs w:val="32"/>
          <w:highlight w:val="none"/>
        </w:rPr>
        <w:t>给予政策支持。</w:t>
      </w:r>
      <w:r>
        <w:rPr>
          <w:rFonts w:hint="eastAsia" w:ascii="仿宋_GB2312" w:hAnsi="仿宋_GB2312" w:eastAsia="仿宋_GB2312" w:cs="仿宋_GB2312"/>
          <w:color w:val="000000"/>
          <w:sz w:val="32"/>
          <w:szCs w:val="32"/>
        </w:rPr>
        <w:t>（责任单位：省科技厅、省工业和信息化厅、省教育厅、省人力资源社会保障厅）</w:t>
      </w:r>
    </w:p>
    <w:p w14:paraId="32F74EEB">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2.强化</w:t>
      </w:r>
      <w:r>
        <w:rPr>
          <w:rFonts w:hint="eastAsia" w:ascii="仿宋_GB2312" w:hAnsi="仿宋_GB2312" w:eastAsia="仿宋_GB2312" w:cs="仿宋_GB2312"/>
          <w:color w:val="000000"/>
          <w:sz w:val="32"/>
          <w:szCs w:val="32"/>
          <w:highlight w:val="none"/>
        </w:rPr>
        <w:t>创新</w:t>
      </w:r>
      <w:r>
        <w:rPr>
          <w:rFonts w:hint="eastAsia" w:ascii="仿宋_GB2312" w:hAnsi="仿宋_GB2312" w:eastAsia="仿宋_GB2312" w:cs="仿宋_GB2312"/>
          <w:color w:val="000000"/>
          <w:sz w:val="32"/>
          <w:szCs w:val="32"/>
          <w:highlight w:val="none"/>
          <w:lang w:eastAsia="zh-CN"/>
        </w:rPr>
        <w:t>平台</w:t>
      </w:r>
      <w:r>
        <w:rPr>
          <w:rFonts w:hint="eastAsia" w:ascii="仿宋_GB2312" w:hAnsi="仿宋_GB2312" w:eastAsia="仿宋_GB2312" w:cs="仿宋_GB2312"/>
          <w:color w:val="000000"/>
          <w:sz w:val="32"/>
          <w:szCs w:val="32"/>
          <w:highlight w:val="none"/>
        </w:rPr>
        <w:t>建设</w:t>
      </w:r>
      <w:r>
        <w:rPr>
          <w:rFonts w:hint="eastAsia" w:ascii="仿宋_GB2312" w:hAnsi="仿宋_GB2312" w:eastAsia="仿宋_GB2312" w:cs="仿宋_GB2312"/>
          <w:color w:val="000000"/>
          <w:sz w:val="32"/>
          <w:szCs w:val="32"/>
        </w:rPr>
        <w:t>。支持机器人及关键零部件企业建设企业技术中心、技术创新中心、制造业创新中心。聚焦补短板锻长板，支持</w:t>
      </w:r>
      <w:r>
        <w:rPr>
          <w:rFonts w:hint="eastAsia" w:ascii="仿宋_GB2312" w:hAnsi="仿宋_GB2312" w:eastAsia="仿宋_GB2312" w:cs="仿宋_GB2312"/>
          <w:color w:val="000000"/>
          <w:sz w:val="32"/>
          <w:szCs w:val="32"/>
          <w:highlight w:val="none"/>
          <w:lang w:eastAsia="zh-CN"/>
        </w:rPr>
        <w:t>行业</w:t>
      </w:r>
      <w:r>
        <w:rPr>
          <w:rFonts w:hint="eastAsia" w:ascii="仿宋_GB2312" w:hAnsi="仿宋_GB2312" w:eastAsia="仿宋_GB2312" w:cs="仿宋_GB2312"/>
          <w:color w:val="000000"/>
          <w:sz w:val="32"/>
          <w:szCs w:val="32"/>
        </w:rPr>
        <w:t>企业牵头联合产学研用单位组建产业研究院、重点实验室等各类平台，在多模态感知融合与交互、人机协作与群体智能、虚拟仿真与虚实转换等方面协同开展技术攻关和产品研发。对政策实施期内新升级的国家级相关重大科技创新平台，国家没有配套资金要求的，省级按规定给予每个平台1000万元经费支持。（责任单位：省科技厅、省发展改革委、省工业和信息化厅、省教育厅）</w:t>
      </w:r>
    </w:p>
    <w:p w14:paraId="0250F9FB">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3.加速科技成果转化。</w:t>
      </w:r>
      <w:r>
        <w:rPr>
          <w:rFonts w:hint="eastAsia" w:ascii="仿宋_GB2312" w:hAnsi="仿宋_GB2312" w:eastAsia="仿宋_GB2312" w:cs="仿宋_GB2312"/>
          <w:color w:val="000000"/>
          <w:sz w:val="32"/>
          <w:szCs w:val="32"/>
          <w:shd w:val="clear" w:color="auto" w:fill="FFFFFF"/>
        </w:rPr>
        <w:t>高标准建设“山东科技大市场”，建立高校院所“可转化成果数据库”和企业“科技成果需求库”，强化供需对接，引导有组织的科技成果转化。建立健全产学研协同创新平台，支持高校和科研院所通过“赋权+转让+约定收益”等新模式，加快以应用场景驱动科技成果转化，每年认定一批场景应用友好单位。</w:t>
      </w:r>
      <w:r>
        <w:rPr>
          <w:rFonts w:hint="eastAsia" w:ascii="仿宋_GB2312" w:hAnsi="仿宋_GB2312" w:eastAsia="仿宋_GB2312" w:cs="仿宋_GB2312"/>
          <w:color w:val="000000"/>
          <w:sz w:val="32"/>
          <w:szCs w:val="32"/>
        </w:rPr>
        <w:t>（责任单位：省科技厅、省教育厅）</w:t>
      </w:r>
      <w:bookmarkStart w:id="0" w:name="OLE_LINK1"/>
    </w:p>
    <w:p w14:paraId="23B378B6">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4.强化标准体系建设。坚持标准先行，</w:t>
      </w:r>
      <w:r>
        <w:rPr>
          <w:rFonts w:hint="eastAsia" w:ascii="仿宋_GB2312" w:hAnsi="仿宋_GB2312" w:eastAsia="仿宋_GB2312" w:cs="仿宋_GB2312"/>
          <w:color w:val="000000"/>
          <w:sz w:val="32"/>
          <w:szCs w:val="40"/>
        </w:rPr>
        <w:t>推动国家和行业标准宣贯，强化科技成果向标准转化。鼓励在协作机器人、巡检机器人和水下机器人等优势领域开展标准制修订和研究验证工作，对主导制修订高水平国际标准、国家标准和地方标准，分别每项给予最高40万元、20万元和10万元奖补。</w:t>
      </w:r>
      <w:r>
        <w:rPr>
          <w:rFonts w:hint="eastAsia" w:ascii="仿宋_GB2312" w:hAnsi="仿宋_GB2312" w:eastAsia="仿宋_GB2312" w:cs="仿宋_GB2312"/>
          <w:color w:val="000000"/>
          <w:sz w:val="32"/>
          <w:szCs w:val="32"/>
        </w:rPr>
        <w:t>（责任单位：省市场监管局、省工业和信息化厅）</w:t>
      </w:r>
      <w:bookmarkEnd w:id="0"/>
      <w:bookmarkStart w:id="1" w:name="OLE_LINK11"/>
      <w:bookmarkStart w:id="2" w:name="OLE_LINK12"/>
    </w:p>
    <w:bookmarkEnd w:id="1"/>
    <w:bookmarkEnd w:id="2"/>
    <w:p w14:paraId="0848107C">
      <w:pPr>
        <w:spacing w:line="60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（二）加快产业主体培育</w:t>
      </w:r>
    </w:p>
    <w:p w14:paraId="35293D06">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培育</w:t>
      </w:r>
      <w:r>
        <w:rPr>
          <w:rFonts w:hint="eastAsia" w:ascii="仿宋_GB2312" w:hAnsi="仿宋_GB2312" w:eastAsia="仿宋_GB2312" w:cs="仿宋_GB2312"/>
          <w:color w:val="000000"/>
          <w:sz w:val="32"/>
          <w:szCs w:val="32"/>
          <w:highlight w:val="none"/>
        </w:rPr>
        <w:t>优质企业</w:t>
      </w:r>
      <w:r>
        <w:rPr>
          <w:rFonts w:hint="eastAsia" w:ascii="仿宋_GB2312" w:hAnsi="仿宋_GB2312" w:eastAsia="仿宋_GB2312" w:cs="仿宋_GB2312"/>
          <w:color w:val="000000"/>
          <w:sz w:val="32"/>
          <w:szCs w:val="32"/>
          <w:highlight w:val="none"/>
          <w:lang w:eastAsia="zh-CN"/>
        </w:rPr>
        <w:t>群体</w:t>
      </w:r>
      <w:r>
        <w:rPr>
          <w:rFonts w:hint="eastAsia" w:ascii="仿宋_GB2312" w:hAnsi="仿宋_GB2312" w:eastAsia="仿宋_GB2312" w:cs="仿宋_GB2312"/>
          <w:color w:val="000000"/>
          <w:sz w:val="32"/>
          <w:szCs w:val="32"/>
          <w:highlight w:val="none"/>
        </w:rPr>
        <w:t>。做大</w:t>
      </w:r>
      <w:r>
        <w:rPr>
          <w:rFonts w:hint="eastAsia" w:ascii="仿宋_GB2312" w:hAnsi="仿宋_GB2312" w:eastAsia="仿宋_GB2312" w:cs="仿宋_GB2312"/>
          <w:color w:val="000000"/>
          <w:sz w:val="32"/>
          <w:szCs w:val="32"/>
        </w:rPr>
        <w:t>做强</w:t>
      </w:r>
      <w:r>
        <w:rPr>
          <w:rFonts w:hint="eastAsia" w:ascii="仿宋_GB2312" w:hAnsi="仿宋_GB2312" w:eastAsia="仿宋_GB2312" w:cs="仿宋_GB2312"/>
          <w:color w:val="000000"/>
          <w:sz w:val="32"/>
          <w:szCs w:val="32"/>
          <w:shd w:val="clear" w:color="auto" w:fill="FFFFFF"/>
        </w:rPr>
        <w:t>一批竞争优势强、发展潜力大、柔性制造能力突出的</w:t>
      </w:r>
      <w:r>
        <w:rPr>
          <w:rFonts w:hint="eastAsia" w:ascii="仿宋_GB2312" w:hAnsi="仿宋_GB2312" w:eastAsia="仿宋_GB2312" w:cs="仿宋_GB2312"/>
          <w:color w:val="000000"/>
          <w:sz w:val="32"/>
          <w:szCs w:val="32"/>
        </w:rPr>
        <w:t>头部企业，打造具有生态主导力和全球竞争力的“链主”企业。</w:t>
      </w:r>
      <w:r>
        <w:rPr>
          <w:rFonts w:hint="eastAsia" w:ascii="Times New Roman" w:hAnsi="Times New Roman" w:eastAsia="仿宋_GB2312"/>
          <w:color w:val="000000"/>
          <w:kern w:val="0"/>
          <w:sz w:val="32"/>
          <w:szCs w:val="32"/>
          <w:shd w:val="clear" w:color="auto" w:fill="FFFFFF"/>
        </w:rPr>
        <w:t>围绕一体化关节、精密减速器、伺服系统、灵巧手等关键部件及大模型、运动控制、多模态感知等智能系统，梯次培育一批专注细分领域、具有高成长预期的创新企业</w:t>
      </w:r>
      <w:r>
        <w:rPr>
          <w:rFonts w:hint="eastAsia" w:ascii="仿宋_GB2312" w:hAnsi="仿宋_GB2312" w:eastAsia="仿宋_GB2312" w:cs="仿宋_GB2312"/>
          <w:color w:val="000000"/>
          <w:sz w:val="32"/>
          <w:szCs w:val="32"/>
          <w:shd w:val="clear" w:color="auto" w:fill="FFFFFF"/>
        </w:rPr>
        <w:t>，逐步成长为科技型中小企业、专精特新中小企业、高新技术企业、瞪羚和独角兽企业，</w:t>
      </w:r>
      <w:r>
        <w:rPr>
          <w:rFonts w:hint="eastAsia" w:ascii="仿宋_GB2312" w:hAnsi="仿宋_GB2312" w:eastAsia="仿宋_GB2312" w:cs="仿宋_GB2312"/>
          <w:color w:val="000000"/>
          <w:sz w:val="32"/>
          <w:szCs w:val="32"/>
        </w:rPr>
        <w:t>培育一批具有全国影响力的专精特新“小巨人”和制造业单项冠军企业。（责任单位：省工业和信息化厅、省科技厅、省财政厅）</w:t>
      </w:r>
    </w:p>
    <w:p w14:paraId="5442655B">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shd w:val="clear" w:color="auto" w:fill="FFFFFF"/>
        </w:rPr>
        <w:t>开展产业链精准招商。发挥我省机器人制造和应用场景的优势，用好“</w:t>
      </w:r>
      <w:bookmarkStart w:id="3" w:name="OLE_LINK13"/>
      <w:r>
        <w:rPr>
          <w:rFonts w:hint="eastAsia" w:ascii="仿宋_GB2312" w:hAnsi="仿宋_GB2312" w:eastAsia="仿宋_GB2312" w:cs="仿宋_GB2312"/>
          <w:color w:val="000000"/>
          <w:sz w:val="32"/>
          <w:szCs w:val="32"/>
          <w:shd w:val="clear" w:color="auto" w:fill="FFFFFF"/>
        </w:rPr>
        <w:t>选择山东</w:t>
      </w:r>
      <w:bookmarkEnd w:id="3"/>
      <w:r>
        <w:rPr>
          <w:rFonts w:hint="eastAsia" w:ascii="仿宋_GB2312" w:hAnsi="仿宋_GB2312" w:eastAsia="仿宋_GB2312" w:cs="仿宋_GB2312"/>
          <w:color w:val="000000"/>
          <w:sz w:val="32"/>
          <w:szCs w:val="32"/>
          <w:shd w:val="clear" w:color="auto" w:fill="FFFFFF"/>
        </w:rPr>
        <w:t>”等招商平台，建强专业招商队伍，通过产业链招商、以商招商、资本招商等形式，建立技术引进、资本对接、项目落地全流程机制，精准招引落地一批</w:t>
      </w:r>
      <w:bookmarkStart w:id="4" w:name="OLE_LINK16"/>
      <w:r>
        <w:rPr>
          <w:rFonts w:hint="eastAsia" w:ascii="仿宋_GB2312" w:hAnsi="仿宋_GB2312" w:eastAsia="仿宋_GB2312" w:cs="仿宋_GB2312"/>
          <w:color w:val="000000"/>
          <w:sz w:val="32"/>
          <w:szCs w:val="32"/>
          <w:shd w:val="clear" w:color="auto" w:fill="FFFFFF"/>
        </w:rPr>
        <w:t>强链补链项目</w:t>
      </w:r>
      <w:bookmarkEnd w:id="4"/>
      <w:r>
        <w:rPr>
          <w:rFonts w:hint="eastAsia" w:ascii="仿宋_GB2312" w:hAnsi="仿宋_GB2312" w:eastAsia="仿宋_GB2312" w:cs="仿宋_GB2312"/>
          <w:color w:val="000000"/>
          <w:sz w:val="32"/>
          <w:szCs w:val="32"/>
          <w:shd w:val="clear" w:color="auto" w:fill="FFFFFF"/>
        </w:rPr>
        <w:t>和急需人才。鼓励各地将符合条件的机器人项目纳入</w:t>
      </w:r>
      <w:bookmarkStart w:id="5" w:name="OLE_LINK14"/>
      <w:r>
        <w:rPr>
          <w:rFonts w:hint="eastAsia" w:ascii="仿宋_GB2312" w:hAnsi="仿宋_GB2312" w:eastAsia="仿宋_GB2312" w:cs="仿宋_GB2312"/>
          <w:color w:val="000000"/>
          <w:sz w:val="32"/>
          <w:szCs w:val="32"/>
          <w:shd w:val="clear" w:color="auto" w:fill="FFFFFF"/>
        </w:rPr>
        <w:t>重点项目</w:t>
      </w:r>
      <w:bookmarkEnd w:id="5"/>
      <w:r>
        <w:rPr>
          <w:rFonts w:hint="eastAsia" w:ascii="仿宋_GB2312" w:hAnsi="仿宋_GB2312" w:eastAsia="仿宋_GB2312" w:cs="仿宋_GB2312"/>
          <w:color w:val="000000"/>
          <w:sz w:val="32"/>
          <w:szCs w:val="32"/>
          <w:shd w:val="clear" w:color="auto" w:fill="FFFFFF"/>
        </w:rPr>
        <w:t>予以支持，加强资源要素保障。（责任单位：省商务厅、省发展改革委）</w:t>
      </w:r>
    </w:p>
    <w:p w14:paraId="4615B209">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shd w:val="clear" w:color="auto" w:fill="FFFFFF"/>
        </w:rPr>
        <w:t>3.</w:t>
      </w:r>
      <w:r>
        <w:rPr>
          <w:rFonts w:hint="eastAsia" w:ascii="仿宋_GB2312" w:hAnsi="仿宋_GB2312" w:eastAsia="仿宋_GB2312" w:cs="仿宋_GB2312"/>
          <w:color w:val="000000"/>
          <w:sz w:val="32"/>
          <w:szCs w:val="32"/>
          <w:highlight w:val="none"/>
          <w:shd w:val="clear" w:color="auto" w:fill="FFFFFF"/>
          <w:lang w:eastAsia="zh-CN"/>
        </w:rPr>
        <w:t>推动企业提质升级</w:t>
      </w:r>
      <w:r>
        <w:rPr>
          <w:rFonts w:hint="eastAsia" w:ascii="仿宋_GB2312" w:hAnsi="仿宋_GB2312" w:eastAsia="仿宋_GB2312" w:cs="仿宋_GB2312"/>
          <w:color w:val="000000"/>
          <w:sz w:val="32"/>
          <w:szCs w:val="32"/>
          <w:highlight w:val="none"/>
        </w:rPr>
        <w:t>。充分</w:t>
      </w:r>
      <w:r>
        <w:rPr>
          <w:rFonts w:hint="eastAsia" w:ascii="仿宋_GB2312" w:hAnsi="仿宋_GB2312" w:eastAsia="仿宋_GB2312" w:cs="仿宋_GB2312"/>
          <w:color w:val="000000"/>
          <w:sz w:val="32"/>
          <w:szCs w:val="32"/>
        </w:rPr>
        <w:t>利用</w:t>
      </w:r>
      <w:bookmarkStart w:id="6" w:name="OLE_LINK18"/>
      <w:r>
        <w:rPr>
          <w:rFonts w:hint="eastAsia" w:ascii="仿宋_GB2312" w:hAnsi="仿宋_GB2312" w:eastAsia="仿宋_GB2312" w:cs="仿宋_GB2312"/>
          <w:color w:val="000000"/>
          <w:sz w:val="32"/>
          <w:szCs w:val="32"/>
        </w:rPr>
        <w:t>“两重”“两新”</w:t>
      </w:r>
      <w:bookmarkEnd w:id="6"/>
      <w:r>
        <w:rPr>
          <w:rFonts w:hint="eastAsia" w:ascii="仿宋_GB2312" w:hAnsi="仿宋_GB2312" w:eastAsia="仿宋_GB2312" w:cs="仿宋_GB2312"/>
          <w:color w:val="000000"/>
          <w:sz w:val="32"/>
          <w:szCs w:val="32"/>
        </w:rPr>
        <w:t>政策，鼓励企业新建和改扩建项目，指导企业用好设备购置补贴、技改专项贷、股权投资等政策，加大新产品研发生产力度，提升产业发展后劲。</w:t>
      </w:r>
      <w:r>
        <w:rPr>
          <w:rFonts w:hint="eastAsia" w:ascii="仿宋_GB2312" w:hAnsi="仿宋_GB2312" w:eastAsia="仿宋_GB2312" w:cs="仿宋_GB2312"/>
          <w:color w:val="000000"/>
          <w:sz w:val="32"/>
          <w:szCs w:val="32"/>
          <w:highlight w:val="none"/>
        </w:rPr>
        <w:t>聚焦</w:t>
      </w:r>
      <w:r>
        <w:rPr>
          <w:rFonts w:hint="eastAsia" w:ascii="仿宋_GB2312" w:hAnsi="仿宋_GB2312" w:eastAsia="仿宋_GB2312" w:cs="仿宋_GB2312"/>
          <w:color w:val="000000"/>
          <w:sz w:val="32"/>
          <w:szCs w:val="32"/>
          <w:highlight w:val="none"/>
          <w:lang w:eastAsia="zh-CN"/>
        </w:rPr>
        <w:t>培育壮大</w:t>
      </w:r>
      <w:r>
        <w:rPr>
          <w:rFonts w:hint="eastAsia" w:ascii="仿宋_GB2312" w:hAnsi="仿宋_GB2312" w:eastAsia="仿宋_GB2312" w:cs="仿宋_GB2312"/>
          <w:color w:val="000000"/>
          <w:sz w:val="32"/>
          <w:szCs w:val="32"/>
          <w:highlight w:val="none"/>
        </w:rPr>
        <w:t>具身智能机器人等终端产品，对人形机器人整机</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核心零部件企业</w:t>
      </w:r>
      <w:r>
        <w:rPr>
          <w:rFonts w:hint="eastAsia" w:ascii="仿宋_GB2312" w:hAnsi="仿宋_GB2312" w:eastAsia="仿宋_GB2312" w:cs="仿宋_GB2312"/>
          <w:color w:val="000000"/>
          <w:sz w:val="32"/>
          <w:szCs w:val="32"/>
          <w:highlight w:val="none"/>
          <w:lang w:eastAsia="zh-CN"/>
        </w:rPr>
        <w:t>按规定分别</w:t>
      </w:r>
      <w:r>
        <w:rPr>
          <w:rFonts w:hint="eastAsia" w:ascii="仿宋_GB2312" w:hAnsi="仿宋_GB2312" w:eastAsia="仿宋_GB2312" w:cs="仿宋_GB2312"/>
          <w:color w:val="000000"/>
          <w:sz w:val="32"/>
          <w:szCs w:val="32"/>
          <w:highlight w:val="none"/>
        </w:rPr>
        <w:t>给予</w:t>
      </w:r>
      <w:r>
        <w:rPr>
          <w:rFonts w:hint="eastAsia" w:ascii="仿宋_GB2312" w:hAnsi="仿宋_GB2312" w:eastAsia="仿宋_GB2312" w:cs="仿宋_GB2312"/>
          <w:color w:val="000000"/>
          <w:sz w:val="32"/>
          <w:szCs w:val="32"/>
        </w:rPr>
        <w:t>一次性最高800万元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300万元</w:t>
      </w:r>
      <w:r>
        <w:rPr>
          <w:rFonts w:hint="eastAsia" w:ascii="仿宋_GB2312" w:hAnsi="仿宋_GB2312" w:eastAsia="仿宋_GB2312" w:cs="仿宋_GB2312"/>
          <w:color w:val="000000"/>
          <w:sz w:val="32"/>
          <w:szCs w:val="32"/>
        </w:rPr>
        <w:t>奖励。</w:t>
      </w:r>
      <w:r>
        <w:rPr>
          <w:rFonts w:hint="eastAsia" w:ascii="仿宋_GB2312" w:hAnsi="仿宋_GB2312" w:eastAsia="仿宋_GB2312" w:cs="仿宋_GB2312"/>
          <w:color w:val="000000"/>
          <w:sz w:val="32"/>
          <w:szCs w:val="32"/>
          <w:shd w:val="clear" w:color="auto" w:fill="FFFFFF"/>
        </w:rPr>
        <w:t>（责任单位：省发展改革委、省工业和信息化厅、省科技厅、省财政厅）</w:t>
      </w:r>
      <w:r>
        <w:rPr>
          <w:rFonts w:hint="eastAsia" w:ascii="仿宋_GB2312" w:hAnsi="仿宋_GB2312" w:eastAsia="仿宋_GB2312" w:cs="仿宋_GB2312"/>
          <w:color w:val="000000"/>
          <w:sz w:val="32"/>
          <w:szCs w:val="32"/>
        </w:rPr>
        <w:t xml:space="preserve"> </w:t>
      </w:r>
    </w:p>
    <w:p w14:paraId="35E4A353">
      <w:pPr>
        <w:spacing w:line="60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（三）</w:t>
      </w:r>
      <w:r>
        <w:rPr>
          <w:rFonts w:hint="eastAsia" w:ascii="楷体_GB2312" w:hAnsi="仿宋_GB2312" w:eastAsia="楷体_GB2312" w:cs="仿宋_GB2312"/>
          <w:color w:val="000000"/>
          <w:sz w:val="32"/>
          <w:szCs w:val="32"/>
          <w:lang w:eastAsia="zh-CN"/>
        </w:rPr>
        <w:t>促进</w:t>
      </w:r>
      <w:r>
        <w:rPr>
          <w:rFonts w:hint="eastAsia" w:ascii="楷体_GB2312" w:hAnsi="仿宋_GB2312" w:eastAsia="楷体_GB2312" w:cs="仿宋_GB2312"/>
          <w:color w:val="000000"/>
          <w:sz w:val="32"/>
          <w:szCs w:val="32"/>
        </w:rPr>
        <w:t>产业集聚扩容</w:t>
      </w:r>
    </w:p>
    <w:p w14:paraId="78BE3F76">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highlight w:val="none"/>
          <w:lang w:eastAsia="zh-CN"/>
        </w:rPr>
        <w:t>推动</w:t>
      </w:r>
      <w:r>
        <w:rPr>
          <w:rFonts w:hint="eastAsia" w:ascii="仿宋_GB2312" w:hAnsi="仿宋_GB2312" w:eastAsia="仿宋_GB2312" w:cs="仿宋_GB2312"/>
          <w:color w:val="000000"/>
          <w:sz w:val="32"/>
          <w:szCs w:val="32"/>
          <w:highlight w:val="none"/>
        </w:rPr>
        <w:t>产业集聚</w:t>
      </w:r>
      <w:r>
        <w:rPr>
          <w:rFonts w:hint="eastAsia" w:ascii="仿宋_GB2312" w:hAnsi="仿宋_GB2312" w:eastAsia="仿宋_GB2312" w:cs="仿宋_GB2312"/>
          <w:color w:val="000000"/>
          <w:sz w:val="32"/>
          <w:szCs w:val="32"/>
          <w:highlight w:val="none"/>
          <w:lang w:eastAsia="zh-CN"/>
        </w:rPr>
        <w:t>发展</w:t>
      </w:r>
      <w:r>
        <w:rPr>
          <w:rFonts w:hint="eastAsia" w:ascii="仿宋_GB2312" w:hAnsi="仿宋_GB2312" w:eastAsia="仿宋_GB2312" w:cs="仿宋_GB2312"/>
          <w:color w:val="000000"/>
          <w:sz w:val="32"/>
          <w:szCs w:val="32"/>
        </w:rPr>
        <w:t>。鼓励产业加速集聚形成集群，打造机器人项目承载地、协同配套生产基地和场景应用示范地。符合条件的产业集群优先支持列入战略性新兴产业集群和先进制造业集群。支持未来产业加速园建设，在未来制造、未来信息和未来材料领域培育壮大智能机器人、优质企业，对认定的加速园</w:t>
      </w:r>
      <w:r>
        <w:rPr>
          <w:rFonts w:hint="eastAsia" w:ascii="仿宋_GB2312" w:hAnsi="仿宋_GB2312" w:eastAsia="仿宋_GB2312" w:cs="仿宋_GB2312"/>
          <w:color w:val="000000"/>
          <w:sz w:val="32"/>
          <w:szCs w:val="32"/>
          <w:lang w:eastAsia="zh-CN"/>
        </w:rPr>
        <w:t>按规定</w:t>
      </w:r>
      <w:r>
        <w:rPr>
          <w:rFonts w:hint="eastAsia" w:ascii="仿宋_GB2312" w:hAnsi="仿宋_GB2312" w:eastAsia="仿宋_GB2312" w:cs="仿宋_GB2312"/>
          <w:color w:val="000000"/>
          <w:sz w:val="32"/>
          <w:szCs w:val="32"/>
        </w:rPr>
        <w:t>给予最高600万元奖补支持。对园区内的优质机器人产业项目，通过省新旧动能转换基金按照市场化方式给予支持。（责任单位：省工业和信息化厅、省发展改革委、省财政厅）</w:t>
      </w:r>
    </w:p>
    <w:p w14:paraId="2A7F5F44">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color w:val="000000"/>
          <w:sz w:val="32"/>
          <w:szCs w:val="36"/>
        </w:rPr>
        <w:t>2</w:t>
      </w:r>
      <w:r>
        <w:rPr>
          <w:rFonts w:hint="eastAsia" w:ascii="仿宋_GB2312" w:eastAsia="仿宋_GB2312"/>
          <w:color w:val="000000"/>
          <w:sz w:val="32"/>
          <w:szCs w:val="36"/>
          <w:highlight w:val="none"/>
        </w:rPr>
        <w:t>.建设产业</w:t>
      </w:r>
      <w:r>
        <w:rPr>
          <w:rFonts w:hint="eastAsia" w:ascii="仿宋_GB2312" w:eastAsia="仿宋_GB2312"/>
          <w:color w:val="000000"/>
          <w:sz w:val="32"/>
          <w:szCs w:val="36"/>
          <w:highlight w:val="none"/>
          <w:lang w:eastAsia="zh-CN"/>
        </w:rPr>
        <w:t>发展</w:t>
      </w:r>
      <w:r>
        <w:rPr>
          <w:rFonts w:hint="eastAsia" w:ascii="仿宋_GB2312" w:eastAsia="仿宋_GB2312"/>
          <w:color w:val="000000"/>
          <w:sz w:val="32"/>
          <w:szCs w:val="36"/>
          <w:highlight w:val="none"/>
        </w:rPr>
        <w:t>高地</w:t>
      </w:r>
      <w:r>
        <w:rPr>
          <w:rFonts w:hint="eastAsia" w:ascii="仿宋_GB2312" w:eastAsia="仿宋_GB2312"/>
          <w:color w:val="000000"/>
          <w:sz w:val="32"/>
          <w:szCs w:val="36"/>
        </w:rPr>
        <w:t>。立足产业基础条件和功能定位，引导资源和创新要素向产业基础好、发展潜力大的地区集聚,打造四大机器人产业发展高地。济南市重点发展重载工业机器人、高温强冲击特种作业机器人、驱控一体化芯片与控制器，打造国内领先的机器人测试验证公共服务平台，推动人形机器人产业布局，加快机器人整机及零部件产业协同发展</w:t>
      </w:r>
      <w:r>
        <w:rPr>
          <w:rFonts w:hint="eastAsia" w:ascii="仿宋_GB2312" w:hAnsi="仿宋_GB2312" w:eastAsia="仿宋_GB2312" w:cs="仿宋_GB2312"/>
          <w:color w:val="000000"/>
          <w:sz w:val="32"/>
          <w:szCs w:val="32"/>
        </w:rPr>
        <w:t>；青岛市重点发展海洋工程特种机器人、新能源场景特种机器人、智慧康养服务机器人，一体化推进工业、家庭服务、海洋、康养等领域机器人研发制造和集成应用；淄博市重点发展高精度弧焊协作机器人、矿用预警侦测特种机器人及</w:t>
      </w:r>
      <w:r>
        <w:rPr>
          <w:rFonts w:hint="eastAsia" w:ascii="仿宋_GB2312" w:hAnsi="仿宋_GB2312" w:eastAsia="仿宋_GB2312" w:cs="仿宋_GB2312"/>
          <w:bCs/>
          <w:color w:val="000000"/>
          <w:sz w:val="32"/>
          <w:szCs w:val="32"/>
        </w:rPr>
        <w:t>机器人专用行星减速机</w:t>
      </w:r>
      <w:r>
        <w:rPr>
          <w:rFonts w:hint="eastAsia" w:ascii="仿宋_GB2312" w:hAnsi="仿宋_GB2312" w:eastAsia="仿宋_GB2312" w:cs="仿宋_GB2312"/>
          <w:color w:val="000000"/>
          <w:sz w:val="32"/>
          <w:szCs w:val="32"/>
        </w:rPr>
        <w:t>，加快产业集聚区建设，打造国内外知名的智能协作机器人和核心零部件生产高地；济宁市重点发展机器视觉系统、智能控制器等，加快推进人形机器人产业布局，打造机器人高端制造集聚地和集成应用新高地。</w:t>
      </w:r>
    </w:p>
    <w:p w14:paraId="69A46F4A">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3.打造特色产业基地。鼓励各市立足比较优势，因地制宜布局和发展机器人特色产业。枣庄市重点发展国产化高性能谐波减速器；</w:t>
      </w:r>
      <w:r>
        <w:rPr>
          <w:rFonts w:hint="eastAsia" w:ascii="仿宋_GB2312" w:hAnsi="仿宋_GB2312" w:eastAsia="仿宋_GB2312" w:cs="仿宋_GB2312"/>
          <w:bCs/>
          <w:color w:val="000000"/>
          <w:sz w:val="32"/>
          <w:szCs w:val="32"/>
        </w:rPr>
        <w:t>烟台重点发展多关节机器人</w:t>
      </w:r>
      <w:r>
        <w:rPr>
          <w:rFonts w:hint="eastAsia" w:ascii="仿宋_GB2312" w:hAnsi="仿宋_GB2312" w:eastAsia="仿宋_GB2312" w:cs="仿宋_GB2312"/>
          <w:color w:val="000000"/>
          <w:sz w:val="32"/>
          <w:szCs w:val="32"/>
        </w:rPr>
        <w:t>、警务协作机器人</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智能控制器</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潍坊市重点发展汽车、农业与物流服务机器人；泰安市重点发展脑机接口与康复设备等</w:t>
      </w:r>
      <w:r>
        <w:rPr>
          <w:rFonts w:hint="eastAsia" w:ascii="仿宋_GB2312" w:hAnsi="仿宋_GB2312" w:eastAsia="仿宋_GB2312" w:cs="仿宋_GB2312"/>
          <w:bCs/>
          <w:color w:val="000000"/>
          <w:sz w:val="32"/>
          <w:szCs w:val="32"/>
        </w:rPr>
        <w:t>医疗机器人；</w:t>
      </w:r>
      <w:r>
        <w:rPr>
          <w:rFonts w:hint="eastAsia" w:ascii="仿宋_GB2312" w:hAnsi="仿宋_GB2312" w:eastAsia="仿宋_GB2312" w:cs="仿宋_GB2312"/>
          <w:color w:val="000000"/>
          <w:sz w:val="32"/>
          <w:szCs w:val="32"/>
        </w:rPr>
        <w:t>威海市重点发展微创医疗机器人、海洋探矿采矿机器人；</w:t>
      </w:r>
      <w:r>
        <w:rPr>
          <w:rFonts w:hint="eastAsia" w:ascii="仿宋_GB2312" w:hAnsi="仿宋_GB2312" w:eastAsia="仿宋_GB2312" w:cs="仿宋_GB2312"/>
          <w:bCs/>
          <w:color w:val="000000"/>
          <w:sz w:val="32"/>
          <w:szCs w:val="32"/>
        </w:rPr>
        <w:t>日照市重点发展协作机器人、教育机器人；临沂市重点发展重载工业机器人、多关节机器人和商务服务机器人；</w:t>
      </w:r>
      <w:r>
        <w:rPr>
          <w:rFonts w:hint="eastAsia" w:ascii="仿宋_GB2312" w:hAnsi="仿宋_GB2312" w:eastAsia="仿宋_GB2312" w:cs="仿宋_GB2312"/>
          <w:color w:val="000000"/>
          <w:sz w:val="32"/>
          <w:szCs w:val="32"/>
        </w:rPr>
        <w:t>滨州市重点发展国产喷砂、喷涂机器人。（责任单位：各市人民政府、省工业和信息化厅）</w:t>
      </w:r>
    </w:p>
    <w:p w14:paraId="5954CA3A">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40"/>
        </w:rPr>
        <w:t>公共服务能力。</w:t>
      </w:r>
      <w:r>
        <w:rPr>
          <w:rFonts w:ascii="仿宋_GB2312" w:hAnsi="仿宋_GB2312" w:eastAsia="仿宋_GB2312" w:cs="仿宋_GB2312"/>
          <w:color w:val="000000"/>
          <w:sz w:val="32"/>
          <w:szCs w:val="32"/>
          <w:shd w:val="clear" w:color="auto" w:fill="FFFFFF"/>
        </w:rPr>
        <w:t>面向工业制造、生活服务、特种作业等领域，搭建虚拟仿真环境和真实应用环境，</w:t>
      </w:r>
      <w:r>
        <w:rPr>
          <w:rFonts w:hint="eastAsia" w:ascii="仿宋_GB2312" w:hAnsi="仿宋_GB2312" w:eastAsia="仿宋_GB2312" w:cs="仿宋_GB2312"/>
          <w:color w:val="000000"/>
          <w:sz w:val="32"/>
          <w:szCs w:val="32"/>
          <w:shd w:val="clear" w:color="auto" w:fill="FFFFFF"/>
        </w:rPr>
        <w:t>优化布局一批中试基地，将符合条件的中试资源纳入“山东省大型科学仪器设备协作共用网”管理。</w:t>
      </w:r>
      <w:r>
        <w:rPr>
          <w:rFonts w:hint="eastAsia" w:ascii="仿宋_GB2312" w:hAnsi="仿宋_GB2312" w:eastAsia="仿宋_GB2312" w:cs="仿宋_GB2312"/>
          <w:color w:val="000000"/>
          <w:sz w:val="32"/>
          <w:szCs w:val="32"/>
        </w:rPr>
        <w:t>推动质量基础设施与产业协同发展，</w:t>
      </w:r>
      <w:r>
        <w:rPr>
          <w:rFonts w:hint="eastAsia" w:ascii="仿宋_GB2312" w:hAnsi="仿宋_GB2312" w:eastAsia="仿宋_GB2312" w:cs="仿宋_GB2312"/>
          <w:color w:val="000000"/>
          <w:sz w:val="32"/>
          <w:szCs w:val="40"/>
        </w:rPr>
        <w:t>鼓励济南、青岛、淄博、济宁等地争创国家级机器人检验检测质检中心，</w:t>
      </w:r>
      <w:r>
        <w:rPr>
          <w:rFonts w:hint="eastAsia" w:ascii="仿宋_GB2312" w:eastAsia="仿宋_GB2312"/>
          <w:color w:val="000000"/>
          <w:sz w:val="32"/>
          <w:szCs w:val="36"/>
        </w:rPr>
        <w:t>对获批国家质检中心、国家产业计量测试中心、国家检测重点实验室的给予奖励</w:t>
      </w:r>
      <w:r>
        <w:rPr>
          <w:rFonts w:hint="eastAsia" w:eastAsia="仿宋_GB2312"/>
          <w:color w:val="000000"/>
          <w:sz w:val="32"/>
        </w:rPr>
        <w:t>。</w:t>
      </w:r>
      <w:r>
        <w:rPr>
          <w:rFonts w:hint="eastAsia" w:ascii="仿宋_GB2312" w:hAnsi="仿宋_GB2312" w:eastAsia="仿宋_GB2312" w:cs="仿宋_GB2312"/>
          <w:color w:val="000000"/>
          <w:sz w:val="32"/>
          <w:szCs w:val="32"/>
        </w:rPr>
        <w:t>支持有条件的高校院所和企业建设概念验证中心，对认定的省级概念验证中心，</w:t>
      </w:r>
      <w:r>
        <w:rPr>
          <w:rFonts w:hint="eastAsia" w:ascii="仿宋_GB2312" w:hAnsi="仿宋_GB2312" w:eastAsia="仿宋_GB2312" w:cs="仿宋_GB2312"/>
          <w:color w:val="000000"/>
          <w:sz w:val="32"/>
          <w:szCs w:val="32"/>
          <w:lang w:eastAsia="zh-CN"/>
        </w:rPr>
        <w:t>按规定给予一定支持</w:t>
      </w:r>
      <w:r>
        <w:rPr>
          <w:rFonts w:hint="eastAsia" w:ascii="仿宋_GB2312" w:hAnsi="仿宋_GB2312" w:eastAsia="仿宋_GB2312" w:cs="仿宋_GB2312"/>
          <w:color w:val="000000"/>
          <w:sz w:val="32"/>
          <w:szCs w:val="32"/>
        </w:rPr>
        <w:t>。支持机器人企业加大研发投入，按</w:t>
      </w:r>
      <w:r>
        <w:rPr>
          <w:rFonts w:hint="eastAsia" w:ascii="仿宋_GB2312" w:hAnsi="仿宋_GB2312" w:eastAsia="仿宋_GB2312" w:cs="仿宋_GB2312"/>
          <w:color w:val="000000"/>
          <w:sz w:val="32"/>
          <w:szCs w:val="32"/>
          <w:lang w:eastAsia="zh-CN"/>
        </w:rPr>
        <w:t>相关</w:t>
      </w:r>
      <w:r>
        <w:rPr>
          <w:rFonts w:hint="eastAsia" w:ascii="仿宋_GB2312" w:hAnsi="仿宋_GB2312" w:eastAsia="仿宋_GB2312" w:cs="仿宋_GB2312"/>
          <w:color w:val="000000"/>
          <w:sz w:val="32"/>
          <w:szCs w:val="32"/>
        </w:rPr>
        <w:t>规定给予分档分类后补助，单个企业年度最高补助500万元。（责任单位：省科技厅、省财政厅、省市场监管局）</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7CE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D5FDC6C">
            <w:pPr>
              <w:spacing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专栏1 机器人中试平台</w:t>
            </w:r>
          </w:p>
        </w:tc>
      </w:tr>
      <w:tr w14:paraId="5E9A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956121B">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机器人集群智能协同中试平台。</w:t>
            </w:r>
            <w:r>
              <w:rPr>
                <w:rFonts w:hint="eastAsia" w:ascii="仿宋_GB2312" w:hAnsi="仿宋_GB2312" w:eastAsia="仿宋_GB2312" w:cs="仿宋_GB2312"/>
                <w:color w:val="000000"/>
                <w:sz w:val="32"/>
                <w:szCs w:val="32"/>
              </w:rPr>
              <w:t>模拟复杂场景下的多机器人协同作业，验证集群机器人的导航定位、目标检测、任务分配等协同能力。</w:t>
            </w:r>
          </w:p>
          <w:p w14:paraId="0C237CEF">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特种机器人极端环境中试平台。</w:t>
            </w:r>
            <w:r>
              <w:rPr>
                <w:rFonts w:hint="eastAsia" w:ascii="仿宋_GB2312" w:hAnsi="仿宋_GB2312" w:eastAsia="仿宋_GB2312" w:cs="仿宋_GB2312"/>
                <w:color w:val="000000"/>
                <w:sz w:val="32"/>
                <w:szCs w:val="32"/>
              </w:rPr>
              <w:t>模拟高温、辐射、有毒气体等极端环境及废墟、水下等复杂地形，开展机器人搜救、巡检、警务运行等任务训练，提升特种机器人在应急救援、安防、公共安全等领域的作业能力。</w:t>
            </w:r>
          </w:p>
          <w:p w14:paraId="6637EF4F">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医疗康复机器人精准操作中试平台。</w:t>
            </w:r>
            <w:r>
              <w:rPr>
                <w:rFonts w:hint="eastAsia" w:ascii="仿宋_GB2312" w:hAnsi="仿宋_GB2312" w:eastAsia="仿宋_GB2312" w:cs="仿宋_GB2312"/>
                <w:color w:val="000000"/>
                <w:sz w:val="32"/>
                <w:szCs w:val="32"/>
              </w:rPr>
              <w:t>模拟医院康复科、家庭康复等场景，进行个性化康复训练动作指导和辅助，提高机器人在手术辅助、康复评估等领域操作精度和智能化水平。</w:t>
            </w:r>
          </w:p>
          <w:p w14:paraId="5AF16F3B">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算力中心机器人智能运维中试平台。</w:t>
            </w:r>
            <w:r>
              <w:rPr>
                <w:rFonts w:hint="eastAsia" w:ascii="仿宋_GB2312" w:hAnsi="仿宋_GB2312" w:eastAsia="仿宋_GB2312" w:cs="仿宋_GB2312"/>
                <w:color w:val="000000"/>
                <w:sz w:val="32"/>
                <w:szCs w:val="32"/>
              </w:rPr>
              <w:t>模拟算力中心、数据中心等场景，测试机器人在高温、高湿度、复杂布线等算力复杂场景下智能巡检、综合运维、人机协同交互能力，为大规模部署提供数据支持和技术保障。</w:t>
            </w:r>
          </w:p>
        </w:tc>
      </w:tr>
    </w:tbl>
    <w:p w14:paraId="6B0606A8">
      <w:pPr>
        <w:spacing w:line="600" w:lineRule="exact"/>
        <w:ind w:firstLine="640" w:firstLineChars="200"/>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highlight w:val="none"/>
          <w:lang w:val="en-US"/>
        </w:rPr>
        <w:t>5</w:t>
      </w:r>
      <w:r>
        <w:rPr>
          <w:rFonts w:hint="eastAsia" w:ascii="仿宋_GB2312" w:hAnsi="仿宋_GB2312" w:eastAsia="仿宋_GB2312" w:cs="仿宋_GB2312"/>
          <w:color w:val="000000"/>
          <w:sz w:val="32"/>
          <w:szCs w:val="32"/>
          <w:highlight w:val="none"/>
        </w:rPr>
        <w:t>.建设</w:t>
      </w:r>
      <w:r>
        <w:rPr>
          <w:rFonts w:hint="eastAsia" w:ascii="仿宋_GB2312" w:hAnsi="仿宋_GB2312" w:eastAsia="仿宋_GB2312" w:cs="仿宋_GB2312"/>
          <w:color w:val="000000"/>
          <w:sz w:val="32"/>
          <w:szCs w:val="32"/>
        </w:rPr>
        <w:t>机器人训练场。组织机器人整机研制企业联合高校与科研院所，主动开放不同应用场景，建设机器人训练场，开展典型任务场景训练与数据测试，建设行业领先的通用具身智能大小模型训练数据库，提升机器人产品的可靠性和智能化水平。对训练场算力需求</w:t>
      </w:r>
      <w:r>
        <w:rPr>
          <w:rFonts w:hint="eastAsia" w:ascii="仿宋_GB2312" w:hAnsi="仿宋_GB2312" w:eastAsia="仿宋_GB2312" w:cs="仿宋_GB2312"/>
          <w:color w:val="000000"/>
          <w:sz w:val="32"/>
          <w:szCs w:val="32"/>
          <w:lang w:eastAsia="zh-CN"/>
        </w:rPr>
        <w:t>、大模型及语料库</w:t>
      </w:r>
      <w:r>
        <w:rPr>
          <w:rFonts w:hint="eastAsia" w:ascii="仿宋_GB2312" w:hAnsi="仿宋_GB2312" w:eastAsia="仿宋_GB2312" w:cs="仿宋_GB2312"/>
          <w:color w:val="000000"/>
          <w:sz w:val="32"/>
          <w:szCs w:val="32"/>
        </w:rPr>
        <w:t>实施“</w:t>
      </w:r>
      <w:bookmarkStart w:id="7" w:name="OLE_LINK23"/>
      <w:r>
        <w:rPr>
          <w:rFonts w:hint="eastAsia" w:ascii="仿宋_GB2312" w:hAnsi="仿宋_GB2312" w:eastAsia="仿宋_GB2312" w:cs="仿宋_GB2312"/>
          <w:color w:val="000000"/>
          <w:sz w:val="32"/>
          <w:szCs w:val="32"/>
        </w:rPr>
        <w:t>算力券”、</w:t>
      </w:r>
      <w:r>
        <w:rPr>
          <w:rFonts w:hint="eastAsia" w:ascii="仿宋_GB2312" w:hAnsi="仿宋_GB2312" w:eastAsia="仿宋_GB2312" w:cs="仿宋_GB2312"/>
          <w:color w:val="000000"/>
          <w:sz w:val="32"/>
          <w:szCs w:val="32"/>
          <w:lang w:eastAsia="zh-CN"/>
        </w:rPr>
        <w:t>“模型券”、“语料券”</w:t>
      </w:r>
      <w:r>
        <w:rPr>
          <w:rFonts w:hint="eastAsia" w:ascii="仿宋_GB2312" w:hAnsi="仿宋_GB2312" w:eastAsia="仿宋_GB2312" w:cs="仿宋_GB2312"/>
          <w:color w:val="000000"/>
          <w:sz w:val="32"/>
          <w:szCs w:val="32"/>
        </w:rPr>
        <w:t>奖补</w:t>
      </w:r>
      <w:bookmarkEnd w:id="7"/>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按照相关程序，</w:t>
      </w:r>
      <w:r>
        <w:rPr>
          <w:rFonts w:hint="eastAsia" w:ascii="仿宋_GB2312" w:hAnsi="仿宋_GB2312" w:eastAsia="仿宋_GB2312" w:cs="仿宋_GB2312"/>
          <w:color w:val="000000"/>
          <w:sz w:val="32"/>
          <w:szCs w:val="32"/>
        </w:rPr>
        <w:t>对符合条件的算力交易合同进行奖补，单个企业累计奖补总额最高500万元</w:t>
      </w:r>
      <w:r>
        <w:rPr>
          <w:rFonts w:hint="eastAsia" w:ascii="仿宋_GB2312" w:hAnsi="仿宋_GB2312" w:eastAsia="仿宋_GB2312" w:cs="仿宋_GB2312"/>
          <w:color w:val="000000"/>
          <w:sz w:val="32"/>
          <w:szCs w:val="32"/>
          <w:lang w:eastAsia="zh-CN"/>
        </w:rPr>
        <w:t>；对符合条件的大模型产品进行奖补，单个产品给予最高100万元的定额补贴；对符合条件的语料库进行奖补，单个语料库给予最高150万元补贴。</w:t>
      </w:r>
      <w:r>
        <w:rPr>
          <w:rFonts w:hint="eastAsia" w:ascii="仿宋_GB2312" w:hAnsi="仿宋_GB2312" w:eastAsia="仿宋_GB2312" w:cs="仿宋_GB2312"/>
          <w:color w:val="000000"/>
          <w:sz w:val="32"/>
          <w:szCs w:val="32"/>
        </w:rPr>
        <w:t>（责任单位：省工业和信息化厅、省大数据局、省财政厅）</w:t>
      </w:r>
      <w:bookmarkStart w:id="8" w:name="OLE_LINK24"/>
    </w:p>
    <w:bookmarkEnd w:id="8"/>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D0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AB8CCB">
            <w:pPr>
              <w:spacing w:line="600" w:lineRule="exact"/>
              <w:jc w:val="center"/>
              <w:rPr>
                <w:rFonts w:hint="eastAsia" w:ascii="仿宋_GB2312" w:hAnsi="仿宋_GB2312" w:eastAsia="仿宋_GB2312" w:cs="仿宋_GB2312"/>
                <w:color w:val="000000"/>
                <w:sz w:val="32"/>
                <w:szCs w:val="32"/>
              </w:rPr>
            </w:pPr>
            <w:bookmarkStart w:id="9" w:name="OLE_LINK6"/>
            <w:r>
              <w:rPr>
                <w:rFonts w:hint="eastAsia" w:ascii="仿宋_GB2312" w:hAnsi="仿宋_GB2312" w:eastAsia="仿宋_GB2312" w:cs="仿宋_GB2312"/>
                <w:color w:val="000000"/>
                <w:sz w:val="32"/>
                <w:szCs w:val="32"/>
              </w:rPr>
              <w:t>专栏2 机器人训练场</w:t>
            </w:r>
          </w:p>
        </w:tc>
      </w:tr>
      <w:tr w14:paraId="7085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22621B">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人形机器人综合能力训练场。</w:t>
            </w:r>
            <w:r>
              <w:rPr>
                <w:rFonts w:hint="eastAsia" w:ascii="仿宋_GB2312" w:hAnsi="仿宋_GB2312" w:eastAsia="仿宋_GB2312" w:cs="仿宋_GB2312"/>
                <w:color w:val="000000"/>
                <w:sz w:val="32"/>
                <w:szCs w:val="32"/>
              </w:rPr>
              <w:t>构建动态工业物流、家居服务、障碍地形等场景，训练机器人作业、行走及人机协作能力，通过多模态传感器数据与强化学习算法优化运动控制与安全交互策略，推动人形机器人复杂环境自主决策与高效作业。</w:t>
            </w:r>
          </w:p>
          <w:p w14:paraId="2FE5D063">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工业机器人柔性装配训练场。</w:t>
            </w:r>
            <w:r>
              <w:rPr>
                <w:rFonts w:hint="eastAsia" w:ascii="仿宋_GB2312" w:hAnsi="仿宋_GB2312" w:eastAsia="仿宋_GB2312" w:cs="仿宋_GB2312"/>
                <w:color w:val="000000"/>
                <w:sz w:val="32"/>
                <w:szCs w:val="32"/>
              </w:rPr>
              <w:t>聚焦复杂装配任务训练，搭建多型号混线生产模拟环境，集成高精度视觉与力觉反馈系统，实时采集机器人抓取、装配、检测等操作的动态数据，优化运动规划与控制算法，提升机器人对个性化生产任务的适应性，满足制造业柔性化需求。</w:t>
            </w:r>
          </w:p>
        </w:tc>
      </w:tr>
      <w:bookmarkEnd w:id="9"/>
    </w:tbl>
    <w:p w14:paraId="07F5C9B1">
      <w:pPr>
        <w:spacing w:line="60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（四）大力拓展应用场景</w:t>
      </w:r>
    </w:p>
    <w:p w14:paraId="57CFD4A7">
      <w:pPr>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1.实施“机器人+”应用行动。聚焦制造业、农业、建筑业、商贸物流、安全应急、公共安全、矿山等用户特定场景和工艺需求，打造具有示范带动作用的典型应用案例，探索在危险岗位替代、智能巡检、流程制造、监管执法、应急救援、警务运行、医疗康养、家庭服务、迎宾导购等细分领域打造应用场景。鼓励在居民社区、物业服务、街区建设中探索应用具身智能机器人。（责任单位：省工业和信息化厅、省发展改革委、省教育厅、省科技厅、省公安厅、省民政厅、省财政厅、省住建厅、省交通厅、省农业厅、省商务厅、省文旅局、省卫健委、省应急管理厅、省国资委、国家矿山安全监察局山东局）</w:t>
      </w:r>
    </w:p>
    <w:p w14:paraId="6B69B86D">
      <w:pPr>
        <w:spacing w:line="600" w:lineRule="exact"/>
        <w:ind w:firstLine="640" w:firstLineChars="200"/>
        <w:rPr>
          <w:rFonts w:ascii="Times New Roman" w:hAnsi="Times New Roman" w:eastAsia="仿宋_GB2312"/>
          <w:color w:val="000000"/>
          <w:kern w:val="0"/>
          <w:sz w:val="32"/>
          <w:szCs w:val="32"/>
          <w:shd w:val="clear" w:color="auto" w:fill="FFFFFF"/>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highlight w:val="none"/>
          <w:lang w:eastAsia="zh-CN"/>
        </w:rPr>
        <w:t>强化</w:t>
      </w:r>
      <w:r>
        <w:rPr>
          <w:rFonts w:hint="eastAsia" w:ascii="仿宋_GB2312" w:hAnsi="仿宋_GB2312" w:eastAsia="仿宋_GB2312" w:cs="仿宋_GB2312"/>
          <w:color w:val="000000"/>
          <w:sz w:val="32"/>
          <w:szCs w:val="32"/>
          <w:highlight w:val="none"/>
        </w:rPr>
        <w:t>场</w:t>
      </w:r>
      <w:r>
        <w:rPr>
          <w:rFonts w:hint="eastAsia" w:ascii="仿宋_GB2312" w:hAnsi="仿宋_GB2312" w:eastAsia="仿宋_GB2312" w:cs="仿宋_GB2312"/>
          <w:color w:val="000000"/>
          <w:sz w:val="32"/>
          <w:szCs w:val="32"/>
        </w:rPr>
        <w:t>景应用创新。将具有技术水平、创新模式和应用成效的机器人</w:t>
      </w:r>
      <w:r>
        <w:rPr>
          <w:rFonts w:ascii="Times New Roman" w:hAnsi="Times New Roman" w:eastAsia="仿宋_GB2312"/>
          <w:color w:val="000000"/>
          <w:kern w:val="0"/>
          <w:sz w:val="32"/>
          <w:szCs w:val="32"/>
          <w:shd w:val="clear" w:color="auto" w:fill="FFFFFF"/>
        </w:rPr>
        <w:t>典型示范应用场景</w:t>
      </w:r>
      <w:r>
        <w:rPr>
          <w:rFonts w:hint="eastAsia" w:ascii="仿宋_GB2312" w:hAnsi="仿宋_GB2312" w:eastAsia="仿宋_GB2312" w:cs="仿宋_GB2312"/>
          <w:color w:val="000000"/>
          <w:sz w:val="32"/>
          <w:szCs w:val="32"/>
        </w:rPr>
        <w:t>纳入“工赋百景”数字化转型揭榜挂帅试点等项目推广范围，</w:t>
      </w:r>
      <w:r>
        <w:rPr>
          <w:rFonts w:hint="eastAsia" w:ascii="仿宋_GB2312" w:hAnsi="仿宋_GB2312" w:eastAsia="仿宋_GB2312" w:cs="仿宋_GB2312"/>
          <w:color w:val="000000"/>
          <w:sz w:val="32"/>
          <w:szCs w:val="32"/>
          <w:lang w:eastAsia="zh-CN"/>
        </w:rPr>
        <w:t>按程序</w:t>
      </w:r>
      <w:r>
        <w:rPr>
          <w:rFonts w:hint="eastAsia" w:ascii="仿宋_GB2312" w:hAnsi="仿宋_GB2312" w:eastAsia="仿宋_GB2312" w:cs="仿宋_GB2312"/>
          <w:color w:val="000000"/>
          <w:sz w:val="32"/>
          <w:szCs w:val="32"/>
        </w:rPr>
        <w:t>分别给予最高100万元、200万元、200万元奖补。将机器人应用场景建设纳入国家智能工厂评价内容，鼓励各地在转型升级、智能制造等项目中给予政策支持。利用</w:t>
      </w:r>
      <w:r>
        <w:rPr>
          <w:rFonts w:hint="eastAsia" w:ascii="仿宋_GB2312" w:hAnsi="仿宋_GB2312" w:eastAsia="仿宋_GB2312" w:cs="仿宋_GB2312"/>
          <w:color w:val="000000"/>
          <w:sz w:val="32"/>
          <w:szCs w:val="32"/>
          <w:shd w:val="clear" w:color="auto" w:fill="FFFFFF"/>
        </w:rPr>
        <w:t>“四首”政策支持新产品推广</w:t>
      </w:r>
      <w:r>
        <w:rPr>
          <w:rFonts w:ascii="Times New Roman" w:hAnsi="Times New Roman" w:eastAsia="仿宋_GB2312"/>
          <w:color w:val="000000"/>
          <w:kern w:val="0"/>
          <w:sz w:val="32"/>
          <w:szCs w:val="32"/>
          <w:shd w:val="clear" w:color="auto" w:fill="FFFFFF"/>
        </w:rPr>
        <w:t>应用</w:t>
      </w:r>
      <w:r>
        <w:rPr>
          <w:rFonts w:hint="eastAsia" w:ascii="Times New Roman" w:hAnsi="Times New Roman" w:eastAsia="仿宋_GB2312"/>
          <w:color w:val="000000"/>
          <w:kern w:val="0"/>
          <w:sz w:val="32"/>
          <w:szCs w:val="32"/>
          <w:shd w:val="clear" w:color="auto" w:fill="FFFFFF"/>
        </w:rPr>
        <w:t>，降低产品市场推广风险。（责任单位：省工业和信息化厅</w:t>
      </w:r>
      <w:r>
        <w:rPr>
          <w:rFonts w:hint="eastAsia" w:ascii="Times New Roman" w:hAnsi="Times New Roman" w:eastAsia="仿宋_GB2312"/>
          <w:color w:val="000000"/>
          <w:kern w:val="0"/>
          <w:sz w:val="32"/>
          <w:szCs w:val="32"/>
          <w:shd w:val="clear" w:color="auto" w:fill="FFFFFF"/>
          <w:lang w:eastAsia="zh-CN"/>
        </w:rPr>
        <w:t>、省财政厅</w:t>
      </w:r>
      <w:r>
        <w:rPr>
          <w:rFonts w:hint="eastAsia" w:ascii="Times New Roman" w:hAnsi="Times New Roman" w:eastAsia="仿宋_GB2312"/>
          <w:color w:val="000000"/>
          <w:kern w:val="0"/>
          <w:sz w:val="32"/>
          <w:szCs w:val="32"/>
          <w:shd w:val="clear" w:color="auto" w:fill="FFFFFF"/>
        </w:rPr>
        <w:t>）</w:t>
      </w:r>
    </w:p>
    <w:p w14:paraId="0FC220A0">
      <w:pPr>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highlight w:val="none"/>
          <w:lang w:eastAsia="zh-CN"/>
        </w:rPr>
        <w:t>促进</w:t>
      </w:r>
      <w:r>
        <w:rPr>
          <w:rFonts w:hint="eastAsia" w:ascii="仿宋_GB2312" w:hAnsi="仿宋_GB2312" w:eastAsia="仿宋_GB2312" w:cs="仿宋_GB2312"/>
          <w:color w:val="000000"/>
          <w:sz w:val="32"/>
          <w:szCs w:val="32"/>
          <w:highlight w:val="none"/>
        </w:rPr>
        <w:t>产业融合</w:t>
      </w:r>
      <w:r>
        <w:rPr>
          <w:rFonts w:hint="eastAsia" w:ascii="仿宋_GB2312" w:hAnsi="仿宋_GB2312" w:eastAsia="仿宋_GB2312" w:cs="仿宋_GB2312"/>
          <w:color w:val="000000"/>
          <w:sz w:val="32"/>
          <w:szCs w:val="32"/>
          <w:highlight w:val="none"/>
          <w:lang w:eastAsia="zh-CN"/>
        </w:rPr>
        <w:t>发展</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shd w:val="clear" w:color="auto" w:fill="FFFFFF"/>
        </w:rPr>
        <w:t>鼓励机器人产业与文化教育、艺术娱乐等产业融合，在全省各级博物馆、艺术馆、美术馆、旅游景区等场所增加机器人元素，支持有条件的市规划建设机器人展览馆。利用机场、高铁、地铁、公交枢纽等公共区域进行静态宣传和动态展示，鼓励机器人进课堂，利用广播电视、网络传播机器人产业创新和智能应用新风尚。（责任单位：省教育厅、省住建厅、省交通厅、省文旅厅、省广电局）</w:t>
      </w:r>
    </w:p>
    <w:p w14:paraId="51805173">
      <w:pPr>
        <w:spacing w:line="600" w:lineRule="exact"/>
        <w:ind w:firstLine="640" w:firstLineChars="200"/>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（五）壮大产业人才队伍</w:t>
      </w:r>
    </w:p>
    <w:p w14:paraId="4429B494">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highlight w:val="none"/>
          <w:lang w:eastAsia="zh-CN"/>
        </w:rPr>
        <w:t>扩大</w:t>
      </w:r>
      <w:r>
        <w:rPr>
          <w:rFonts w:hint="eastAsia" w:ascii="仿宋_GB2312" w:hAnsi="仿宋_GB2312" w:eastAsia="仿宋_GB2312" w:cs="仿宋_GB2312"/>
          <w:color w:val="000000"/>
          <w:sz w:val="32"/>
          <w:szCs w:val="32"/>
          <w:highlight w:val="none"/>
        </w:rPr>
        <w:t>高</w:t>
      </w:r>
      <w:r>
        <w:rPr>
          <w:rFonts w:hint="eastAsia" w:ascii="仿宋_GB2312" w:hAnsi="仿宋_GB2312" w:eastAsia="仿宋_GB2312" w:cs="仿宋_GB2312"/>
          <w:color w:val="000000"/>
          <w:sz w:val="32"/>
          <w:szCs w:val="32"/>
          <w:highlight w:val="none"/>
          <w:lang w:eastAsia="zh-CN"/>
        </w:rPr>
        <w:t>端</w:t>
      </w:r>
      <w:r>
        <w:rPr>
          <w:rFonts w:hint="eastAsia" w:ascii="仿宋_GB2312" w:hAnsi="仿宋_GB2312" w:eastAsia="仿宋_GB2312" w:cs="仿宋_GB2312"/>
          <w:color w:val="000000"/>
          <w:sz w:val="32"/>
          <w:szCs w:val="32"/>
          <w:highlight w:val="none"/>
        </w:rPr>
        <w:t>人才</w:t>
      </w:r>
      <w:r>
        <w:rPr>
          <w:rFonts w:hint="eastAsia" w:ascii="仿宋_GB2312" w:hAnsi="仿宋_GB2312" w:eastAsia="仿宋_GB2312" w:cs="仿宋_GB2312"/>
          <w:color w:val="000000"/>
          <w:sz w:val="32"/>
          <w:szCs w:val="32"/>
          <w:highlight w:val="none"/>
          <w:lang w:eastAsia="zh-CN"/>
        </w:rPr>
        <w:t>引进</w:t>
      </w:r>
      <w:r>
        <w:rPr>
          <w:rFonts w:hint="eastAsia" w:ascii="仿宋_GB2312" w:hAnsi="仿宋_GB2312" w:eastAsia="仿宋_GB2312" w:cs="仿宋_GB2312"/>
          <w:color w:val="000000"/>
          <w:sz w:val="32"/>
          <w:szCs w:val="32"/>
          <w:highlight w:val="none"/>
        </w:rPr>
        <w:t>。</w:t>
      </w:r>
      <w:r>
        <w:rPr>
          <w:rFonts w:ascii="仿宋_GB2312" w:hAnsi="宋体" w:eastAsia="仿宋_GB2312" w:cs="仿宋_GB2312"/>
          <w:color w:val="000000"/>
          <w:kern w:val="0"/>
          <w:sz w:val="31"/>
          <w:szCs w:val="31"/>
        </w:rPr>
        <w:t>将机器人</w:t>
      </w:r>
      <w:r>
        <w:rPr>
          <w:rFonts w:hint="eastAsia" w:ascii="仿宋_GB2312" w:hAnsi="仿宋_GB2312" w:eastAsia="仿宋_GB2312" w:cs="仿宋_GB2312"/>
          <w:color w:val="000000"/>
          <w:sz w:val="32"/>
          <w:szCs w:val="32"/>
        </w:rPr>
        <w:t>整机、关键零部件、人工智能</w:t>
      </w:r>
      <w:r>
        <w:rPr>
          <w:rFonts w:ascii="仿宋_GB2312" w:hAnsi="宋体" w:eastAsia="仿宋_GB2312" w:cs="仿宋_GB2312"/>
          <w:color w:val="000000"/>
          <w:kern w:val="0"/>
          <w:sz w:val="31"/>
          <w:szCs w:val="31"/>
        </w:rPr>
        <w:t>领域人才纳入</w:t>
      </w:r>
      <w:r>
        <w:rPr>
          <w:rFonts w:hint="eastAsia" w:ascii="仿宋_GB2312" w:hAnsi="仿宋_GB2312" w:eastAsia="仿宋_GB2312" w:cs="仿宋_GB2312"/>
          <w:color w:val="000000"/>
          <w:sz w:val="32"/>
          <w:szCs w:val="32"/>
        </w:rPr>
        <w:t>《山东省重点扶持区域引进急需紧缺人才项目计划》，加大对国内外机器人产业创新人才、国家级“高精尖缺”</w:t>
      </w:r>
      <w:bookmarkStart w:id="10" w:name="OLE_LINK27"/>
      <w:r>
        <w:rPr>
          <w:rFonts w:hint="eastAsia" w:ascii="仿宋_GB2312" w:hAnsi="仿宋_GB2312" w:eastAsia="仿宋_GB2312" w:cs="仿宋_GB2312"/>
          <w:color w:val="000000"/>
          <w:sz w:val="32"/>
          <w:szCs w:val="32"/>
        </w:rPr>
        <w:t>创新型人才引进</w:t>
      </w:r>
      <w:bookmarkEnd w:id="10"/>
      <w:r>
        <w:rPr>
          <w:rFonts w:hint="eastAsia" w:ascii="仿宋_GB2312" w:hAnsi="仿宋_GB2312" w:eastAsia="仿宋_GB2312" w:cs="仿宋_GB2312"/>
          <w:color w:val="000000"/>
          <w:sz w:val="32"/>
          <w:szCs w:val="32"/>
        </w:rPr>
        <w:t>力度，通过“一事一议”，</w:t>
      </w:r>
      <w:r>
        <w:rPr>
          <w:rFonts w:ascii="仿宋_GB2312" w:hAnsi="宋体" w:eastAsia="仿宋_GB2312" w:cs="仿宋_GB2312"/>
          <w:color w:val="000000"/>
          <w:kern w:val="0"/>
          <w:sz w:val="31"/>
          <w:szCs w:val="31"/>
        </w:rPr>
        <w:t>面向全球引进机器人战略人才、青年科学家和高层次</w:t>
      </w:r>
      <w:r>
        <w:rPr>
          <w:rFonts w:hint="eastAsia" w:ascii="仿宋_GB2312" w:hAnsi="宋体" w:eastAsia="仿宋_GB2312" w:cs="仿宋_GB2312"/>
          <w:color w:val="000000"/>
          <w:kern w:val="0"/>
          <w:sz w:val="31"/>
          <w:szCs w:val="31"/>
        </w:rPr>
        <w:t>人才团队</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rPr>
        <w:t>在住房、教育、落户等方面给予灵活配套政策支持。</w:t>
      </w:r>
      <w:r>
        <w:rPr>
          <w:rFonts w:hint="eastAsia" w:ascii="仿宋_GB2312" w:hAnsi="仿宋_GB2312" w:eastAsia="仿宋_GB2312" w:cs="仿宋_GB2312"/>
          <w:sz w:val="32"/>
          <w:szCs w:val="32"/>
        </w:rPr>
        <w:t>围绕产业所需、企业所求，优化提升泰山产业领军人才工程，加大对机器人行业的倾斜力度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高质量举办“创业齐鲁·共赢未来”高层次人才创业大赛</w:t>
      </w:r>
      <w:r>
        <w:rPr>
          <w:rFonts w:hint="eastAsia" w:ascii="仿宋_GB2312" w:hAnsi="仿宋_GB2312" w:eastAsia="仿宋_GB2312" w:cs="仿宋_GB2312"/>
          <w:sz w:val="32"/>
          <w:szCs w:val="32"/>
          <w:lang w:eastAsia="zh-CN"/>
        </w:rPr>
        <w:t>，拓展省外海外办赛机制，吸引海内外机器人领域高层次人才来鲁创新创业。</w:t>
      </w:r>
      <w:r>
        <w:rPr>
          <w:rFonts w:hint="eastAsia" w:ascii="仿宋_GB2312" w:hAnsi="仿宋_GB2312" w:eastAsia="仿宋_GB2312" w:cs="仿宋_GB2312"/>
          <w:color w:val="000000"/>
          <w:sz w:val="32"/>
          <w:szCs w:val="32"/>
        </w:rPr>
        <w:t>（责任单位：省委组织部、省发展改革委、省教育厅、省科技厅、</w:t>
      </w:r>
      <w:r>
        <w:rPr>
          <w:rFonts w:hint="eastAsia" w:ascii="仿宋_GB2312" w:hAnsi="仿宋_GB2312" w:eastAsia="仿宋_GB2312" w:cs="仿宋_GB2312"/>
          <w:color w:val="000000"/>
          <w:sz w:val="32"/>
          <w:szCs w:val="32"/>
          <w:lang w:eastAsia="zh-CN"/>
        </w:rPr>
        <w:t>省工信厅、</w:t>
      </w:r>
      <w:r>
        <w:rPr>
          <w:rFonts w:hint="eastAsia" w:ascii="仿宋_GB2312" w:hAnsi="仿宋_GB2312" w:eastAsia="仿宋_GB2312" w:cs="仿宋_GB2312"/>
          <w:color w:val="000000"/>
          <w:sz w:val="32"/>
          <w:szCs w:val="32"/>
        </w:rPr>
        <w:t>省人力资源社会保障厅）</w:t>
      </w:r>
    </w:p>
    <w:p w14:paraId="596A3AEB">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highlight w:val="none"/>
          <w:lang w:eastAsia="zh-CN"/>
        </w:rPr>
        <w:t>加强</w:t>
      </w:r>
      <w:r>
        <w:rPr>
          <w:rFonts w:hint="eastAsia" w:ascii="仿宋_GB2312" w:hAnsi="仿宋_GB2312" w:eastAsia="仿宋_GB2312" w:cs="仿宋_GB2312"/>
          <w:color w:val="000000"/>
          <w:sz w:val="32"/>
          <w:szCs w:val="32"/>
          <w:highlight w:val="none"/>
        </w:rPr>
        <w:t>产业人才培养。围</w:t>
      </w:r>
      <w:r>
        <w:rPr>
          <w:rFonts w:hint="eastAsia" w:ascii="仿宋_GB2312" w:hAnsi="仿宋_GB2312" w:eastAsia="仿宋_GB2312" w:cs="仿宋_GB2312"/>
          <w:color w:val="000000"/>
          <w:sz w:val="32"/>
          <w:szCs w:val="32"/>
        </w:rPr>
        <w:t>绕产业所需、企业所求，优化提升泰山产业领军人才工程，加大对机器人行业的倾斜力度。深入推进</w:t>
      </w:r>
      <w:bookmarkStart w:id="11" w:name="OLE_LINK29"/>
      <w:r>
        <w:rPr>
          <w:rFonts w:hint="eastAsia" w:ascii="仿宋_GB2312" w:hAnsi="仿宋_GB2312" w:eastAsia="仿宋_GB2312" w:cs="仿宋_GB2312"/>
          <w:color w:val="000000"/>
          <w:sz w:val="32"/>
          <w:szCs w:val="32"/>
        </w:rPr>
        <w:t>卓越工程师</w:t>
      </w:r>
      <w:bookmarkEnd w:id="11"/>
      <w:r>
        <w:rPr>
          <w:rFonts w:hint="eastAsia" w:ascii="仿宋_GB2312" w:hAnsi="仿宋_GB2312" w:eastAsia="仿宋_GB2312" w:cs="仿宋_GB2312"/>
          <w:color w:val="000000"/>
          <w:sz w:val="32"/>
          <w:szCs w:val="32"/>
        </w:rPr>
        <w:t>培育专项行动，进一步加大工程技术人才自主培养力度。支持机器人企业与高校院所合作，完善有关学科设置、专业建设和</w:t>
      </w:r>
      <w:bookmarkStart w:id="12" w:name="OLE_LINK30"/>
      <w:r>
        <w:rPr>
          <w:rFonts w:hint="eastAsia" w:ascii="仿宋_GB2312" w:hAnsi="仿宋_GB2312" w:eastAsia="仿宋_GB2312" w:cs="仿宋_GB2312"/>
          <w:color w:val="000000"/>
          <w:sz w:val="32"/>
          <w:szCs w:val="32"/>
        </w:rPr>
        <w:t>技能认证体系</w:t>
      </w:r>
      <w:bookmarkEnd w:id="12"/>
      <w:r>
        <w:rPr>
          <w:rFonts w:hint="eastAsia" w:ascii="仿宋_GB2312" w:hAnsi="仿宋_GB2312" w:eastAsia="仿宋_GB2312" w:cs="仿宋_GB2312"/>
          <w:color w:val="000000"/>
          <w:sz w:val="32"/>
          <w:szCs w:val="32"/>
        </w:rPr>
        <w:t>，推进机器人产业人才培养</w:t>
      </w:r>
      <w:r>
        <w:rPr>
          <w:rFonts w:hint="eastAsia" w:ascii="仿宋_GB2312" w:hAnsi="仿宋_GB2312" w:eastAsia="仿宋_GB2312" w:cs="仿宋_GB2312"/>
          <w:color w:val="000000"/>
          <w:sz w:val="32"/>
          <w:szCs w:val="32"/>
          <w:lang w:eastAsia="zh-CN"/>
        </w:rPr>
        <w:t>。加强与高校合作，积极引进机器人领域优势学科。</w:t>
      </w:r>
      <w:r>
        <w:rPr>
          <w:rFonts w:hint="eastAsia" w:ascii="仿宋_GB2312" w:hAnsi="仿宋_GB2312" w:eastAsia="仿宋_GB2312" w:cs="仿宋_GB2312"/>
          <w:sz w:val="32"/>
          <w:szCs w:val="32"/>
        </w:rPr>
        <w:t>深化产教融合、校企合作，支持组建具身智能机器人产教联合体。</w:t>
      </w:r>
      <w:r>
        <w:rPr>
          <w:rFonts w:hint="eastAsia" w:ascii="仿宋_GB2312" w:hAnsi="仿宋_GB2312" w:eastAsia="仿宋_GB2312" w:cs="仿宋_GB2312"/>
          <w:color w:val="000000"/>
          <w:sz w:val="32"/>
          <w:szCs w:val="32"/>
        </w:rPr>
        <w:t>打造机器人</w:t>
      </w:r>
      <w:bookmarkStart w:id="13" w:name="OLE_LINK32"/>
      <w:r>
        <w:rPr>
          <w:rFonts w:hint="eastAsia" w:ascii="仿宋_GB2312" w:hAnsi="仿宋_GB2312" w:eastAsia="仿宋_GB2312" w:cs="仿宋_GB2312"/>
          <w:color w:val="000000"/>
          <w:sz w:val="32"/>
          <w:szCs w:val="32"/>
        </w:rPr>
        <w:t>教学</w:t>
      </w:r>
      <w:bookmarkStart w:id="14" w:name="OLE_LINK31"/>
      <w:r>
        <w:rPr>
          <w:rFonts w:hint="eastAsia" w:ascii="仿宋_GB2312" w:hAnsi="仿宋_GB2312" w:eastAsia="仿宋_GB2312" w:cs="仿宋_GB2312"/>
          <w:color w:val="000000"/>
          <w:sz w:val="32"/>
          <w:szCs w:val="32"/>
        </w:rPr>
        <w:t>实训平台</w:t>
      </w:r>
      <w:bookmarkEnd w:id="13"/>
      <w:bookmarkEnd w:id="14"/>
      <w:r>
        <w:rPr>
          <w:rFonts w:hint="eastAsia" w:ascii="仿宋_GB2312" w:hAnsi="仿宋_GB2312" w:eastAsia="仿宋_GB2312" w:cs="仿宋_GB2312"/>
          <w:color w:val="000000"/>
          <w:sz w:val="32"/>
          <w:szCs w:val="32"/>
        </w:rPr>
        <w:t>，建设实训基地和联合科研基地。把高层次技能人才纳入人才服务绿色通道服务范围，为符合条件的高技能人才发放“</w:t>
      </w:r>
      <w:bookmarkStart w:id="15" w:name="OLE_LINK33"/>
      <w:r>
        <w:rPr>
          <w:rFonts w:hint="eastAsia" w:ascii="仿宋_GB2312" w:hAnsi="仿宋_GB2312" w:eastAsia="仿宋_GB2312" w:cs="仿宋_GB2312"/>
          <w:color w:val="000000"/>
          <w:sz w:val="32"/>
          <w:szCs w:val="32"/>
        </w:rPr>
        <w:t>山东惠才卡</w:t>
      </w:r>
      <w:bookmarkEnd w:id="15"/>
      <w:r>
        <w:rPr>
          <w:rFonts w:hint="eastAsia" w:ascii="仿宋_GB2312" w:hAnsi="仿宋_GB2312" w:eastAsia="仿宋_GB2312" w:cs="仿宋_GB2312"/>
          <w:color w:val="000000"/>
          <w:sz w:val="32"/>
          <w:szCs w:val="32"/>
        </w:rPr>
        <w:t>”，在住房保障、子女就学、职称评聘、交通出行等方面提供支持保障。（责任单位：省委组织部、省教育厅、省工业和信息化厅、省人力资源社会保障厅）</w:t>
      </w:r>
    </w:p>
    <w:p w14:paraId="0BE5DD54">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highlight w:val="none"/>
          <w:lang w:eastAsia="zh-CN"/>
        </w:rPr>
        <w:t>健全</w:t>
      </w:r>
      <w:r>
        <w:rPr>
          <w:rFonts w:hint="eastAsia" w:ascii="仿宋_GB2312" w:hAnsi="仿宋_GB2312" w:eastAsia="仿宋_GB2312" w:cs="仿宋_GB2312"/>
          <w:color w:val="000000"/>
          <w:sz w:val="32"/>
          <w:szCs w:val="32"/>
          <w:highlight w:val="none"/>
        </w:rPr>
        <w:t>人才</w:t>
      </w:r>
      <w:r>
        <w:rPr>
          <w:rFonts w:hint="eastAsia" w:ascii="仿宋_GB2312" w:hAnsi="仿宋_GB2312" w:eastAsia="仿宋_GB2312" w:cs="仿宋_GB2312"/>
          <w:color w:val="000000"/>
          <w:sz w:val="32"/>
          <w:szCs w:val="32"/>
        </w:rPr>
        <w:t>选拔机制。支持机器人企业、高校、行业协会等联合举办机器人职业技能大赛，组织细分行业机器人应用技能和创新创意竞赛，选拔高素质技术技能人才和机器人场景应用新创意新构想。支持机器人创业团队和中小企业参与创客中国等创新创业赛事，提升职业技能水平，促进技术交流创新。（责任单位：省人力资源社会保障厅、省工业和信息化厅）</w:t>
      </w:r>
    </w:p>
    <w:p w14:paraId="0A1A3BAA">
      <w:pPr>
        <w:spacing w:line="600" w:lineRule="exact"/>
        <w:ind w:firstLine="640" w:firstLineChars="200"/>
        <w:rPr>
          <w:rFonts w:hint="eastAsia" w:ascii="黑体" w:hAnsi="黑体" w:eastAsia="黑体" w:cs="仿宋_GB2312"/>
          <w:color w:val="000000"/>
          <w:sz w:val="32"/>
          <w:szCs w:val="32"/>
        </w:rPr>
      </w:pPr>
      <w:r>
        <w:rPr>
          <w:rFonts w:hint="eastAsia" w:ascii="黑体" w:hAnsi="黑体" w:eastAsia="黑体" w:cs="仿宋_GB2312"/>
          <w:color w:val="000000"/>
          <w:sz w:val="32"/>
          <w:szCs w:val="32"/>
        </w:rPr>
        <w:t>三、保障措施</w:t>
      </w:r>
    </w:p>
    <w:p w14:paraId="14F17244">
      <w:pPr>
        <w:spacing w:line="60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（一）强化机制保障。</w:t>
      </w:r>
      <w:r>
        <w:rPr>
          <w:rFonts w:hint="eastAsia" w:ascii="仿宋_GB2312" w:hAnsi="仿宋_GB2312" w:eastAsia="仿宋_GB2312" w:cs="仿宋_GB2312"/>
          <w:color w:val="000000"/>
          <w:sz w:val="32"/>
          <w:szCs w:val="32"/>
        </w:rPr>
        <w:t>扎实实施标志性产业链“链长制”，深入开展产业链重大问题调查研究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加强跨部门</w:t>
      </w:r>
      <w:r>
        <w:rPr>
          <w:rFonts w:hint="eastAsia" w:ascii="仿宋_GB2312" w:hAnsi="仿宋_GB2312" w:eastAsia="仿宋_GB2312" w:cs="仿宋_GB2312"/>
          <w:color w:val="000000"/>
          <w:sz w:val="32"/>
          <w:szCs w:val="32"/>
          <w:highlight w:val="none"/>
          <w:lang w:eastAsia="zh-CN"/>
        </w:rPr>
        <w:t>协同</w:t>
      </w:r>
      <w:r>
        <w:rPr>
          <w:rFonts w:hint="eastAsia" w:ascii="仿宋_GB2312" w:hAnsi="仿宋_GB2312" w:eastAsia="仿宋_GB2312" w:cs="仿宋_GB2312"/>
          <w:color w:val="000000"/>
          <w:sz w:val="32"/>
          <w:szCs w:val="32"/>
          <w:highlight w:val="none"/>
        </w:rPr>
        <w:t>合作，推动各类</w:t>
      </w:r>
      <w:r>
        <w:rPr>
          <w:rFonts w:hint="eastAsia" w:ascii="仿宋_GB2312" w:hAnsi="仿宋_GB2312" w:eastAsia="仿宋_GB2312" w:cs="仿宋_GB2312"/>
          <w:color w:val="000000"/>
          <w:sz w:val="32"/>
          <w:szCs w:val="32"/>
          <w:highlight w:val="none"/>
          <w:lang w:eastAsia="zh-CN"/>
        </w:rPr>
        <w:t>资源</w:t>
      </w:r>
      <w:r>
        <w:rPr>
          <w:rFonts w:hint="eastAsia" w:ascii="仿宋_GB2312" w:hAnsi="仿宋_GB2312" w:eastAsia="仿宋_GB2312" w:cs="仿宋_GB2312"/>
          <w:color w:val="000000"/>
          <w:sz w:val="32"/>
          <w:szCs w:val="32"/>
          <w:highlight w:val="none"/>
        </w:rPr>
        <w:t>要素向机器人产业链集聚</w:t>
      </w:r>
      <w:r>
        <w:rPr>
          <w:rFonts w:hint="eastAsia" w:ascii="仿宋_GB2312" w:hAnsi="仿宋_GB2312" w:eastAsia="仿宋_GB2312" w:cs="仿宋_GB2312"/>
          <w:color w:val="000000"/>
          <w:sz w:val="32"/>
          <w:szCs w:val="32"/>
        </w:rPr>
        <w:t>。鼓励各市强化政策保障，出台支持机器人产业发展的硬措施。（责任单位：省工业和信息化厅、各市人民政府）</w:t>
      </w:r>
    </w:p>
    <w:p w14:paraId="056A6034">
      <w:pPr>
        <w:spacing w:line="60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（二）拓展金融支持。</w:t>
      </w:r>
      <w:r>
        <w:rPr>
          <w:rFonts w:hint="eastAsia" w:ascii="仿宋_GB2312" w:hAnsi="仿宋_GB2312" w:eastAsia="仿宋_GB2312" w:cs="仿宋_GB2312"/>
          <w:color w:val="000000"/>
          <w:sz w:val="32"/>
          <w:szCs w:val="32"/>
        </w:rPr>
        <w:t>支持有条件的地方通过基金投资等方式，吸引社会资本参与机器人产品研发和成果转化。对符合条件的机器人投资项目，政府出资收益可按一定比例或全额让渡给其他出资方。发展耐心资本，积极培育天使投资、风险投资、私募股权投资等早期投资力量，鼓励社会资本投早、投小、投前沿，重点支持机器人行业关键共性技术研究、重大项目建设、成果转化及产业化。鼓励引导金融机构创新产品及服务，以知识产权质押、股权质押等方式，加大对机器人企业和项目的信贷支持；通过融资租赁方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盘活机器人企业固定资产；</w:t>
      </w:r>
      <w:r>
        <w:rPr>
          <w:rFonts w:hint="eastAsia" w:ascii="仿宋_GB2312" w:hAnsi="仿宋_GB2312" w:eastAsia="仿宋_GB2312" w:cs="仿宋_GB2312"/>
          <w:color w:val="000000"/>
          <w:sz w:val="32"/>
          <w:szCs w:val="32"/>
          <w:highlight w:val="none"/>
          <w:lang w:eastAsia="zh-CN"/>
        </w:rPr>
        <w:t>提升</w:t>
      </w:r>
      <w:r>
        <w:rPr>
          <w:rFonts w:hint="eastAsia" w:ascii="仿宋_GB2312" w:hAnsi="仿宋_GB2312" w:eastAsia="仿宋_GB2312" w:cs="仿宋_GB2312"/>
          <w:color w:val="000000"/>
          <w:sz w:val="32"/>
          <w:szCs w:val="32"/>
          <w:highlight w:val="none"/>
        </w:rPr>
        <w:t>出口信贷等服务</w:t>
      </w:r>
      <w:r>
        <w:rPr>
          <w:rFonts w:hint="eastAsia" w:ascii="仿宋_GB2312" w:hAnsi="仿宋_GB2312" w:eastAsia="仿宋_GB2312" w:cs="仿宋_GB2312"/>
          <w:color w:val="000000"/>
          <w:sz w:val="32"/>
          <w:szCs w:val="32"/>
          <w:highlight w:val="none"/>
          <w:lang w:eastAsia="zh-CN"/>
        </w:rPr>
        <w:t>效能</w:t>
      </w:r>
      <w:r>
        <w:rPr>
          <w:rFonts w:hint="eastAsia" w:ascii="仿宋_GB2312" w:hAnsi="仿宋_GB2312" w:eastAsia="仿宋_GB2312" w:cs="仿宋_GB2312"/>
          <w:color w:val="000000"/>
          <w:sz w:val="32"/>
          <w:szCs w:val="32"/>
          <w:highlight w:val="none"/>
        </w:rPr>
        <w:t>，支持机器人企业“走出去”。(责任单位：省财政厅、省委金</w:t>
      </w:r>
      <w:r>
        <w:rPr>
          <w:rFonts w:hint="eastAsia" w:ascii="仿宋_GB2312" w:hAnsi="仿宋_GB2312" w:eastAsia="仿宋_GB2312" w:cs="仿宋_GB2312"/>
          <w:color w:val="000000"/>
          <w:sz w:val="32"/>
          <w:szCs w:val="32"/>
        </w:rPr>
        <w:t>融办、人民银行山东省分行、山东金融监管局、山东证监局、青岛金融监管局、青岛证监局)</w:t>
      </w:r>
    </w:p>
    <w:p w14:paraId="3A32EB4D">
      <w:pPr>
        <w:spacing w:line="600" w:lineRule="exact"/>
        <w:ind w:firstLine="640"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color w:val="000000"/>
          <w:sz w:val="32"/>
          <w:szCs w:val="32"/>
        </w:rPr>
        <w:t>（三）加强宣传推广。</w:t>
      </w:r>
      <w:r>
        <w:rPr>
          <w:rFonts w:hint="eastAsia" w:ascii="仿宋_GB2312" w:hAnsi="仿宋_GB2312" w:eastAsia="仿宋_GB2312" w:cs="仿宋_GB2312"/>
          <w:color w:val="000000"/>
          <w:sz w:val="32"/>
          <w:szCs w:val="32"/>
        </w:rPr>
        <w:t>利用“</w:t>
      </w:r>
      <w:r>
        <w:rPr>
          <w:rFonts w:hint="eastAsia" w:ascii="仿宋_GB2312" w:hAnsi="仿宋_GB2312" w:eastAsia="仿宋_GB2312" w:cs="仿宋_GB2312"/>
          <w:color w:val="000000"/>
          <w:sz w:val="32"/>
          <w:szCs w:val="32"/>
          <w:shd w:val="clear" w:color="auto" w:fill="FFFFFF"/>
        </w:rPr>
        <w:t>山东好成果</w:t>
      </w:r>
      <w:r>
        <w:rPr>
          <w:rFonts w:hint="eastAsia" w:ascii="仿宋_GB2312" w:hAnsi="仿宋_GB2312" w:eastAsia="仿宋_GB2312" w:cs="仿宋_GB2312"/>
          <w:color w:val="000000"/>
          <w:sz w:val="32"/>
          <w:szCs w:val="32"/>
        </w:rPr>
        <w:t>”等平台，加强对机器人产业发展成果、优秀企业与应用案例的宣传推广</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举办机器人</w:t>
      </w:r>
      <w:bookmarkStart w:id="16" w:name="OLE_LINK38"/>
      <w:r>
        <w:rPr>
          <w:rFonts w:hint="eastAsia" w:ascii="仿宋_GB2312" w:hAnsi="仿宋_GB2312" w:eastAsia="仿宋_GB2312" w:cs="仿宋_GB2312"/>
          <w:color w:val="000000"/>
          <w:sz w:val="32"/>
          <w:szCs w:val="32"/>
        </w:rPr>
        <w:t>产业合作会议</w:t>
      </w:r>
      <w:bookmarkEnd w:id="16"/>
      <w:r>
        <w:rPr>
          <w:rFonts w:hint="eastAsia" w:ascii="仿宋_GB2312" w:hAnsi="仿宋_GB2312" w:eastAsia="仿宋_GB2312" w:cs="仿宋_GB2312"/>
          <w:color w:val="000000"/>
          <w:sz w:val="32"/>
          <w:szCs w:val="32"/>
        </w:rPr>
        <w:t>、展示展览等活动，</w:t>
      </w:r>
      <w:r>
        <w:rPr>
          <w:rFonts w:hint="eastAsia" w:ascii="仿宋_GB2312" w:hAnsi="仿宋_GB2312" w:eastAsia="仿宋_GB2312" w:cs="仿宋_GB2312"/>
          <w:color w:val="000000"/>
          <w:sz w:val="32"/>
          <w:szCs w:val="32"/>
          <w:lang w:val="en-US" w:eastAsia="zh-CN"/>
        </w:rPr>
        <w:t>支持举办山东省机器人大会，</w:t>
      </w:r>
      <w:r>
        <w:rPr>
          <w:rFonts w:hint="eastAsia" w:ascii="仿宋_GB2312" w:hAnsi="仿宋_GB2312" w:eastAsia="仿宋_GB2312" w:cs="仿宋_GB2312"/>
          <w:color w:val="000000"/>
          <w:sz w:val="32"/>
          <w:szCs w:val="32"/>
        </w:rPr>
        <w:t>提升产业知名度与影响力。（责任单位：省科技厅、省工业和信息化厅、省广电局）</w:t>
      </w:r>
    </w:p>
    <w:p w14:paraId="0C3D1630">
      <w:pPr>
        <w:ind w:firstLine="0"/>
        <w:rPr>
          <w:rFonts w:hint="eastAsia" w:ascii="仿宋_GB2312" w:eastAsia="仿宋_GB2312"/>
          <w:color w:val="00000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586731"/>
    <w:rsid w:val="02566390"/>
    <w:rsid w:val="051C29EB"/>
    <w:rsid w:val="069A035E"/>
    <w:rsid w:val="09054C73"/>
    <w:rsid w:val="10B755B0"/>
    <w:rsid w:val="10B95885"/>
    <w:rsid w:val="12134554"/>
    <w:rsid w:val="14933FC5"/>
    <w:rsid w:val="1A8318A8"/>
    <w:rsid w:val="1CB33AD0"/>
    <w:rsid w:val="1EB57EBC"/>
    <w:rsid w:val="22B969BE"/>
    <w:rsid w:val="251A293E"/>
    <w:rsid w:val="29C718FC"/>
    <w:rsid w:val="2A181417"/>
    <w:rsid w:val="2A3C4855"/>
    <w:rsid w:val="2A77438F"/>
    <w:rsid w:val="2A9160E4"/>
    <w:rsid w:val="2CAB6572"/>
    <w:rsid w:val="2E286B62"/>
    <w:rsid w:val="2E533D42"/>
    <w:rsid w:val="300A1801"/>
    <w:rsid w:val="31C3610C"/>
    <w:rsid w:val="32335040"/>
    <w:rsid w:val="39E82BB3"/>
    <w:rsid w:val="3ABB2076"/>
    <w:rsid w:val="3B0752BB"/>
    <w:rsid w:val="3D8A2D4B"/>
    <w:rsid w:val="448A7A13"/>
    <w:rsid w:val="44B85878"/>
    <w:rsid w:val="4505518E"/>
    <w:rsid w:val="4BD25472"/>
    <w:rsid w:val="52291E69"/>
    <w:rsid w:val="525070F0"/>
    <w:rsid w:val="5A2375CC"/>
    <w:rsid w:val="5E547F68"/>
    <w:rsid w:val="60B92304"/>
    <w:rsid w:val="654F3237"/>
    <w:rsid w:val="6554013E"/>
    <w:rsid w:val="74D40705"/>
    <w:rsid w:val="79554E68"/>
    <w:rsid w:val="7BC71395"/>
    <w:rsid w:val="7CEB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20"/>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21"/>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2"/>
    <w:qFormat/>
    <w:uiPriority w:val="9"/>
    <w:pPr>
      <w:keepNext/>
      <w:keepLines/>
      <w:spacing w:before="80" w:after="40"/>
      <w:outlineLvl w:val="3"/>
    </w:pPr>
    <w:rPr>
      <w:color w:val="0F4761"/>
      <w:sz w:val="28"/>
      <w:szCs w:val="28"/>
    </w:rPr>
  </w:style>
  <w:style w:type="paragraph" w:styleId="6">
    <w:name w:val="heading 5"/>
    <w:basedOn w:val="1"/>
    <w:next w:val="1"/>
    <w:link w:val="23"/>
    <w:qFormat/>
    <w:uiPriority w:val="9"/>
    <w:pPr>
      <w:keepNext/>
      <w:keepLines/>
      <w:spacing w:before="80" w:after="40"/>
      <w:outlineLvl w:val="4"/>
    </w:pPr>
    <w:rPr>
      <w:color w:val="0F4761"/>
      <w:sz w:val="24"/>
      <w:szCs w:val="24"/>
    </w:rPr>
  </w:style>
  <w:style w:type="paragraph" w:styleId="7">
    <w:name w:val="heading 6"/>
    <w:basedOn w:val="1"/>
    <w:next w:val="1"/>
    <w:link w:val="24"/>
    <w:qFormat/>
    <w:uiPriority w:val="9"/>
    <w:pPr>
      <w:keepNext/>
      <w:keepLines/>
      <w:spacing w:before="40"/>
      <w:outlineLvl w:val="5"/>
    </w:pPr>
    <w:rPr>
      <w:b/>
      <w:bCs/>
      <w:color w:val="0F4761"/>
    </w:rPr>
  </w:style>
  <w:style w:type="paragraph" w:styleId="8">
    <w:name w:val="heading 7"/>
    <w:basedOn w:val="1"/>
    <w:next w:val="1"/>
    <w:link w:val="25"/>
    <w:qFormat/>
    <w:uiPriority w:val="9"/>
    <w:pPr>
      <w:keepNext/>
      <w:keepLines/>
      <w:spacing w:before="40"/>
      <w:outlineLvl w:val="6"/>
    </w:pPr>
    <w:rPr>
      <w:b/>
      <w:bCs/>
      <w:color w:val="595959"/>
    </w:rPr>
  </w:style>
  <w:style w:type="paragraph" w:styleId="9">
    <w:name w:val="heading 8"/>
    <w:basedOn w:val="1"/>
    <w:next w:val="1"/>
    <w:link w:val="26"/>
    <w:qFormat/>
    <w:uiPriority w:val="9"/>
    <w:pPr>
      <w:keepNext/>
      <w:keepLines/>
      <w:outlineLvl w:val="7"/>
    </w:pPr>
    <w:rPr>
      <w:color w:val="595959"/>
    </w:rPr>
  </w:style>
  <w:style w:type="paragraph" w:styleId="10">
    <w:name w:val="heading 9"/>
    <w:basedOn w:val="1"/>
    <w:next w:val="1"/>
    <w:link w:val="27"/>
    <w:qFormat/>
    <w:uiPriority w:val="9"/>
    <w:pPr>
      <w:keepNext/>
      <w:keepLines/>
      <w:outlineLvl w:val="8"/>
    </w:pPr>
    <w:rPr>
      <w:rFonts w:eastAsia="等线 Light"/>
      <w:color w:val="595959"/>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11">
    <w:name w:val="annotation text"/>
    <w:basedOn w:val="1"/>
    <w:qFormat/>
    <w:uiPriority w:val="99"/>
    <w:pPr>
      <w:jc w:val="left"/>
    </w:pPr>
  </w:style>
  <w:style w:type="paragraph" w:styleId="12">
    <w:name w:val="Date"/>
    <w:basedOn w:val="1"/>
    <w:next w:val="1"/>
    <w:link w:val="39"/>
    <w:qFormat/>
    <w:uiPriority w:val="99"/>
    <w:pPr>
      <w:ind w:left="100" w:leftChars="2500"/>
    </w:pPr>
  </w:style>
  <w:style w:type="paragraph" w:styleId="13">
    <w:name w:val="footer"/>
    <w:basedOn w:val="1"/>
    <w:link w:val="38"/>
    <w:qFormat/>
    <w:uiPriority w:val="99"/>
    <w:pPr>
      <w:tabs>
        <w:tab w:val="center" w:pos="4153"/>
        <w:tab w:val="right" w:pos="8306"/>
      </w:tabs>
      <w:snapToGrid w:val="0"/>
      <w:jc w:val="left"/>
    </w:pPr>
    <w:rPr>
      <w:sz w:val="18"/>
      <w:szCs w:val="18"/>
    </w:rPr>
  </w:style>
  <w:style w:type="paragraph" w:styleId="14">
    <w:name w:val="header"/>
    <w:basedOn w:val="1"/>
    <w:link w:val="37"/>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等线 Light" w:hAnsi="等线 Light" w:eastAsia="等线 Light"/>
      <w:color w:val="595959"/>
      <w:spacing w:val="15"/>
      <w:sz w:val="28"/>
      <w:szCs w:val="28"/>
    </w:rPr>
  </w:style>
  <w:style w:type="paragraph" w:styleId="16">
    <w:name w:val="Title"/>
    <w:basedOn w:val="1"/>
    <w:next w:val="1"/>
    <w:link w:val="28"/>
    <w:qFormat/>
    <w:uiPriority w:val="10"/>
    <w:pPr>
      <w:spacing w:after="80"/>
      <w:contextualSpacing/>
      <w:jc w:val="center"/>
    </w:pPr>
    <w:rPr>
      <w:rFonts w:ascii="等线 Light" w:hAnsi="等线 Light" w:eastAsia="等线 Light"/>
      <w:spacing w:val="-10"/>
      <w:kern w:val="28"/>
      <w:sz w:val="56"/>
      <w:szCs w:val="56"/>
    </w:rPr>
  </w:style>
  <w:style w:type="character" w:customStyle="1" w:styleId="19">
    <w:name w:val="标题 1 字符"/>
    <w:basedOn w:val="18"/>
    <w:link w:val="2"/>
    <w:qFormat/>
    <w:uiPriority w:val="9"/>
    <w:rPr>
      <w:rFonts w:ascii="等线 Light" w:hAnsi="等线 Light" w:eastAsia="等线 Light" w:cs="宋体"/>
      <w:color w:val="0F4761"/>
      <w:sz w:val="48"/>
      <w:szCs w:val="48"/>
    </w:rPr>
  </w:style>
  <w:style w:type="character" w:customStyle="1" w:styleId="20">
    <w:name w:val="标题 2 字符"/>
    <w:basedOn w:val="18"/>
    <w:link w:val="3"/>
    <w:qFormat/>
    <w:uiPriority w:val="9"/>
    <w:rPr>
      <w:rFonts w:ascii="等线 Light" w:hAnsi="等线 Light" w:eastAsia="等线 Light" w:cs="宋体"/>
      <w:color w:val="0F4761"/>
      <w:sz w:val="40"/>
      <w:szCs w:val="40"/>
    </w:rPr>
  </w:style>
  <w:style w:type="character" w:customStyle="1" w:styleId="21">
    <w:name w:val="标题 3 字符"/>
    <w:basedOn w:val="18"/>
    <w:link w:val="4"/>
    <w:qFormat/>
    <w:uiPriority w:val="9"/>
    <w:rPr>
      <w:rFonts w:ascii="等线 Light" w:hAnsi="等线 Light" w:eastAsia="等线 Light" w:cs="宋体"/>
      <w:color w:val="0F4761"/>
      <w:sz w:val="32"/>
      <w:szCs w:val="32"/>
    </w:rPr>
  </w:style>
  <w:style w:type="character" w:customStyle="1" w:styleId="22">
    <w:name w:val="标题 4 字符"/>
    <w:basedOn w:val="18"/>
    <w:link w:val="5"/>
    <w:qFormat/>
    <w:uiPriority w:val="9"/>
    <w:rPr>
      <w:rFonts w:cs="宋体"/>
      <w:color w:val="0F4761"/>
      <w:sz w:val="28"/>
      <w:szCs w:val="28"/>
    </w:rPr>
  </w:style>
  <w:style w:type="character" w:customStyle="1" w:styleId="23">
    <w:name w:val="标题 5 字符"/>
    <w:basedOn w:val="18"/>
    <w:link w:val="6"/>
    <w:qFormat/>
    <w:uiPriority w:val="9"/>
    <w:rPr>
      <w:rFonts w:cs="宋体"/>
      <w:color w:val="0F4761"/>
      <w:sz w:val="24"/>
      <w:szCs w:val="24"/>
    </w:rPr>
  </w:style>
  <w:style w:type="character" w:customStyle="1" w:styleId="24">
    <w:name w:val="标题 6 字符"/>
    <w:basedOn w:val="18"/>
    <w:link w:val="7"/>
    <w:qFormat/>
    <w:uiPriority w:val="9"/>
    <w:rPr>
      <w:rFonts w:cs="宋体"/>
      <w:b/>
      <w:bCs/>
      <w:color w:val="0F4761"/>
    </w:rPr>
  </w:style>
  <w:style w:type="character" w:customStyle="1" w:styleId="25">
    <w:name w:val="标题 7 字符"/>
    <w:basedOn w:val="18"/>
    <w:link w:val="8"/>
    <w:qFormat/>
    <w:uiPriority w:val="9"/>
    <w:rPr>
      <w:rFonts w:cs="宋体"/>
      <w:b/>
      <w:bCs/>
      <w:color w:val="595959"/>
    </w:rPr>
  </w:style>
  <w:style w:type="character" w:customStyle="1" w:styleId="26">
    <w:name w:val="标题 8 字符"/>
    <w:basedOn w:val="18"/>
    <w:link w:val="9"/>
    <w:qFormat/>
    <w:uiPriority w:val="9"/>
    <w:rPr>
      <w:rFonts w:cs="宋体"/>
      <w:color w:val="595959"/>
    </w:rPr>
  </w:style>
  <w:style w:type="character" w:customStyle="1" w:styleId="27">
    <w:name w:val="标题 9 字符"/>
    <w:basedOn w:val="18"/>
    <w:link w:val="10"/>
    <w:qFormat/>
    <w:uiPriority w:val="9"/>
    <w:rPr>
      <w:rFonts w:eastAsia="等线 Light" w:cs="宋体"/>
      <w:color w:val="595959"/>
    </w:rPr>
  </w:style>
  <w:style w:type="character" w:customStyle="1" w:styleId="28">
    <w:name w:val="标题 字符"/>
    <w:basedOn w:val="18"/>
    <w:link w:val="16"/>
    <w:qFormat/>
    <w:uiPriority w:val="10"/>
    <w:rPr>
      <w:rFonts w:ascii="等线 Light" w:hAnsi="等线 Light" w:eastAsia="等线 Light" w:cs="宋体"/>
      <w:spacing w:val="-10"/>
      <w:kern w:val="28"/>
      <w:sz w:val="56"/>
      <w:szCs w:val="56"/>
    </w:rPr>
  </w:style>
  <w:style w:type="character" w:customStyle="1" w:styleId="29">
    <w:name w:val="副标题 字符"/>
    <w:basedOn w:val="18"/>
    <w:link w:val="15"/>
    <w:qFormat/>
    <w:uiPriority w:val="11"/>
    <w:rPr>
      <w:rFonts w:ascii="等线 Light" w:hAnsi="等线 Light" w:eastAsia="等线 Light" w:cs="宋体"/>
      <w:color w:val="595959"/>
      <w:spacing w:val="15"/>
      <w:sz w:val="28"/>
      <w:szCs w:val="28"/>
    </w:rPr>
  </w:style>
  <w:style w:type="paragraph" w:styleId="30">
    <w:name w:val="Quote"/>
    <w:basedOn w:val="1"/>
    <w:next w:val="1"/>
    <w:link w:val="31"/>
    <w:qFormat/>
    <w:uiPriority w:val="29"/>
    <w:pPr>
      <w:spacing w:before="160" w:after="160"/>
      <w:jc w:val="center"/>
    </w:pPr>
    <w:rPr>
      <w:i/>
      <w:iCs/>
      <w:color w:val="404040"/>
    </w:rPr>
  </w:style>
  <w:style w:type="character" w:customStyle="1" w:styleId="31">
    <w:name w:val="引用 字符"/>
    <w:basedOn w:val="18"/>
    <w:link w:val="30"/>
    <w:qFormat/>
    <w:uiPriority w:val="29"/>
    <w:rPr>
      <w:i/>
      <w:iCs/>
      <w:color w:val="404040"/>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0F4761"/>
    </w:rPr>
  </w:style>
  <w:style w:type="paragraph" w:styleId="34">
    <w:name w:val="Intense Quote"/>
    <w:basedOn w:val="1"/>
    <w:next w:val="1"/>
    <w:link w:val="35"/>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5">
    <w:name w:val="明显引用 字符"/>
    <w:basedOn w:val="18"/>
    <w:link w:val="34"/>
    <w:qFormat/>
    <w:uiPriority w:val="30"/>
    <w:rPr>
      <w:i/>
      <w:iCs/>
      <w:color w:val="0F4761"/>
    </w:rPr>
  </w:style>
  <w:style w:type="character" w:customStyle="1" w:styleId="36">
    <w:name w:val="明显参考1"/>
    <w:basedOn w:val="18"/>
    <w:qFormat/>
    <w:uiPriority w:val="32"/>
    <w:rPr>
      <w:b/>
      <w:bCs/>
      <w:smallCaps/>
      <w:color w:val="0F4761"/>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character" w:customStyle="1" w:styleId="39">
    <w:name w:val="日期 字符"/>
    <w:basedOn w:val="18"/>
    <w:link w:val="12"/>
    <w:qFormat/>
    <w:uiPriority w:val="99"/>
  </w:style>
  <w:style w:type="paragraph" w:customStyle="1" w:styleId="40">
    <w:name w:val="修订1"/>
    <w:qFormat/>
    <w:uiPriority w:val="99"/>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5737</Words>
  <Characters>5795</Characters>
  <Paragraphs>50</Paragraphs>
  <TotalTime>20</TotalTime>
  <ScaleCrop>false</ScaleCrop>
  <LinksUpToDate>false</LinksUpToDate>
  <CharactersWithSpaces>5799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2025-03-31T00:25:00Z</dcterms:created>
  <dc:creator>霖 赵</dc:creator>
  <cp:lastModifiedBy>任嘉木</cp:lastModifiedBy>
  <cp:lastPrinted>2025-05-08T02:04:00Z</cp:lastPrinted>
  <dcterms:modified xsi:type="dcterms:W3CDTF">2025-05-09T08:58:07Z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FD6075C2B82B47A1B875AB6A49B551A9_13</vt:lpwstr>
  </property>
  <property fmtid="{D5CDD505-2E9C-101B-9397-08002B2CF9AE}" pid="3" name="KSOTemplateDocerSaveRecord">
    <vt:lpwstr>eyJoZGlkIjoiZWM0ZmRjMGYzMzYzOWQ1NjliMGQ3MmNhMzMzZTlkYTciLCJ1c2VySWQiOiIyMjg0NjI3MzAifQ==</vt:lpwstr>
  </property>
  <property fmtid="{D5CDD505-2E9C-101B-9397-08002B2CF9AE}" pid="4" name="KSOProductBuildVer">
    <vt:lpwstr>2052-12.1.0.19770</vt:lpwstr>
  </property>
</Properties>
</file>