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《山东省医药工业“十五五”</w:t>
      </w:r>
      <w:r>
        <w:rPr>
          <w:rFonts w:hint="eastAsia" w:ascii="方正小标宋简体" w:hAnsi="方正小标宋简体" w:eastAsia="方正小标宋简体" w:cs="方正小标宋简体"/>
          <w:sz w:val="44"/>
          <w:szCs w:val="44"/>
          <w:lang w:eastAsia="zh-CN"/>
        </w:rPr>
        <w:t>发展</w:t>
      </w:r>
      <w:r>
        <w:rPr>
          <w:rFonts w:hint="eastAsia" w:ascii="方正小标宋简体" w:hAnsi="方正小标宋简体" w:eastAsia="方正小标宋简体" w:cs="方正小标宋简体"/>
          <w:sz w:val="44"/>
          <w:szCs w:val="44"/>
        </w:rPr>
        <w:t>行动方案</w:t>
      </w:r>
      <w:r>
        <w:rPr>
          <w:rFonts w:hint="eastAsia" w:ascii="方正小标宋简体" w:hAnsi="方正小标宋简体" w:eastAsia="方正小标宋简体" w:cs="方正小标宋简体"/>
          <w:sz w:val="44"/>
          <w:szCs w:val="44"/>
          <w:lang w:eastAsia="zh-CN"/>
        </w:rPr>
        <w:t>（征求意见意见稿</w:t>
      </w:r>
      <w:bookmarkStart w:id="0" w:name="_GoBack"/>
      <w:bookmarkEnd w:id="0"/>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起草说明</w:t>
      </w:r>
    </w:p>
    <w:p>
      <w:pPr>
        <w:spacing w:line="600" w:lineRule="exact"/>
        <w:jc w:val="center"/>
        <w:rPr>
          <w:rFonts w:hint="eastAsia" w:ascii="方正小标宋简体" w:hAnsi="方正小标宋简体" w:eastAsia="方正小标宋简体" w:cs="方正小标宋简体"/>
          <w:sz w:val="44"/>
          <w:szCs w:val="44"/>
        </w:rPr>
      </w:pPr>
    </w:p>
    <w:p>
      <w:pPr>
        <w:pStyle w:val="2"/>
        <w:widowControl/>
        <w:spacing w:beforeAutospacing="0" w:afterAutospacing="0" w:line="360" w:lineRule="atLeast"/>
        <w:ind w:firstLine="640" w:firstLineChars="200"/>
        <w:rPr>
          <w:rFonts w:ascii="黑体" w:hAnsi="黑体" w:eastAsia="黑体" w:cs="黑体"/>
          <w:b w:val="0"/>
          <w:bCs w:val="0"/>
          <w:kern w:val="2"/>
          <w:sz w:val="32"/>
          <w:szCs w:val="32"/>
        </w:rPr>
      </w:pPr>
      <w:r>
        <w:rPr>
          <w:rFonts w:ascii="黑体" w:hAnsi="黑体" w:eastAsia="黑体" w:cs="黑体"/>
          <w:b w:val="0"/>
          <w:bCs w:val="0"/>
          <w:kern w:val="2"/>
          <w:sz w:val="32"/>
          <w:szCs w:val="32"/>
        </w:rPr>
        <w:t>一、起草背景和依据</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（一）宏观战略背景</w:t>
      </w:r>
    </w:p>
    <w:p>
      <w:pPr>
        <w:spacing w:line="600" w:lineRule="exact"/>
        <w:ind w:firstLine="640" w:firstLineChars="200"/>
      </w:pPr>
      <w:r>
        <w:rPr>
          <w:rFonts w:hint="eastAsia"/>
        </w:rPr>
        <w:t>医药产业是关系国际民生和国家安全的战略性新兴产业。“十五五”是我国全面建设社会主义现代化国家的关键阶段，全球生物医药前沿技术迭代加速、国际药品合规标准趋严、贸易竞争加剧；国内人口深度老龄化催生慢性病诊疗、适老器械、康养、辅助生殖等海量市场需求，绿色低碳、数智化转型成为行业发展硬性要求，生物技术、合成生物学、细胞基因治疗等颠覆性技术重塑产业格局，为医药产业高端升级带来重大机遇。</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（二）山东产业基础与现实短板</w:t>
      </w:r>
    </w:p>
    <w:p>
      <w:pPr>
        <w:spacing w:line="600" w:lineRule="exact"/>
        <w:ind w:firstLine="640" w:firstLineChars="200"/>
      </w:pPr>
      <w:r>
        <w:rPr>
          <w:rFonts w:hint="eastAsia"/>
        </w:rPr>
        <w:t>“十四五” 期间山东医药工业稳居全国第一方阵，2025 年规上医药工业营收 2855 亿元，占全国十分之一，建成覆盖化学药、生物药、中药、医疗器械、药用辅料包材、制药装备全链条产业体系：ADC 药物、双靶点创新药实现全球首创，原料药产能全球领先，高端耗材国内市占率第一，海洋生物医药规模占全国 50% 以上，烟台、临沂生物医药集群并列全国首批国家级集群数量第一，细胞与基因治疗、核医药、“蓝色药库” 等新兴赛道形成先发优势。 同时产业仍存在突出短板：前沿靶点、高端装备、核心耗材、关键生物原材料存在“卡脖子”瓶颈；原始创新能力不足，跟随式创新占比高；产业链上下游协同不足，高端制剂、创新药占比有待提升；中小企业创新研发能力薄弱；智能制造、绿色低碳改造覆盖面不均衡；国际化布局、全球同步研发能力仍有提升空间。</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（三）政策编制依据</w:t>
      </w:r>
    </w:p>
    <w:p>
      <w:pPr>
        <w:spacing w:line="600" w:lineRule="exact"/>
        <w:ind w:firstLine="640" w:firstLineChars="200"/>
      </w:pPr>
      <w:r>
        <w:rPr>
          <w:rFonts w:hint="eastAsia"/>
        </w:rPr>
        <w:t>国家顶层文件：《中共中央关于制定国民经济和社会发展第十五个五年规划的建议》《“健康中国 2030”规划纲要》、国家医药工业中长期发展相关规划；</w:t>
      </w:r>
    </w:p>
    <w:p>
      <w:pPr>
        <w:spacing w:line="600" w:lineRule="exact"/>
        <w:ind w:firstLine="640" w:firstLineChars="200"/>
      </w:pPr>
      <w:r>
        <w:rPr>
          <w:rFonts w:hint="eastAsia"/>
        </w:rPr>
        <w:t>省级顶层文件：《中共山东省委关于制定国民经济和社会发展第十五个五年规划的建议》《山东省国民经济和社会发展第十五个五年规划纲要》；</w:t>
      </w:r>
    </w:p>
    <w:p>
      <w:pPr>
        <w:spacing w:line="600" w:lineRule="exact"/>
        <w:ind w:firstLine="640" w:firstLineChars="200"/>
      </w:pPr>
      <w:r>
        <w:rPr>
          <w:rFonts w:hint="eastAsia"/>
        </w:rPr>
        <w:t>制定本行动方案，一是系统统筹全省医药全产业链发展，补齐技术、产业链、绿色智造短板，巩固规模优势，打造差异化国际竞争力；二是抢抓生物技术革命机遇，以数智化、绿色化转型培育医药领域新质生产力，推动山东由“医药大省”向创新型医药强省跨越；三是健全药品器械供应保障体系，强化公共卫生应急保障能力，筑牢群众健康安全底线。</w:t>
      </w:r>
    </w:p>
    <w:p>
      <w:pPr>
        <w:pStyle w:val="2"/>
        <w:widowControl/>
        <w:spacing w:beforeAutospacing="0" w:afterAutospacing="0" w:line="360" w:lineRule="atLeast"/>
        <w:ind w:firstLine="640" w:firstLineChars="200"/>
        <w:rPr>
          <w:rFonts w:ascii="黑体" w:hAnsi="黑体" w:eastAsia="黑体" w:cs="黑体"/>
          <w:b w:val="0"/>
          <w:bCs w:val="0"/>
          <w:kern w:val="2"/>
          <w:sz w:val="32"/>
          <w:szCs w:val="32"/>
        </w:rPr>
      </w:pPr>
      <w:r>
        <w:rPr>
          <w:rFonts w:ascii="黑体" w:hAnsi="黑体" w:eastAsia="黑体" w:cs="黑体"/>
          <w:b w:val="0"/>
          <w:bCs w:val="0"/>
          <w:kern w:val="2"/>
          <w:sz w:val="32"/>
          <w:szCs w:val="32"/>
        </w:rPr>
        <w:t>二、起草过程</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（一）前期调研阶段</w:t>
      </w:r>
    </w:p>
    <w:p>
      <w:pPr>
        <w:spacing w:line="600" w:lineRule="exact"/>
        <w:ind w:firstLine="640" w:firstLineChars="200"/>
      </w:pPr>
      <w:r>
        <w:rPr>
          <w:rFonts w:hint="eastAsia"/>
        </w:rPr>
        <w:t>2024年10月，依托省工信厅消费品处牵头组建专项编制工作组，联合省工信研究院、医药行业协会，组建专家、产业、政策联合调研组。</w:t>
      </w:r>
    </w:p>
    <w:p>
      <w:pPr>
        <w:spacing w:line="600" w:lineRule="exact"/>
        <w:ind w:firstLine="642" w:firstLineChars="200"/>
      </w:pPr>
      <w:r>
        <w:rPr>
          <w:rFonts w:hint="eastAsia"/>
          <w:b/>
          <w:bCs/>
        </w:rPr>
        <w:t>实地调研：</w:t>
      </w:r>
      <w:r>
        <w:rPr>
          <w:rFonts w:hint="eastAsia"/>
        </w:rPr>
        <w:t>先后赴济南、烟台、临沂、青岛、淄博等医药产业重点地市，走访百强药企、医疗器械龙头、中药骨干企业、原料药产业园、CGT、海洋生物医药创新平台；</w:t>
      </w:r>
    </w:p>
    <w:p>
      <w:pPr>
        <w:spacing w:line="600" w:lineRule="exact"/>
        <w:ind w:firstLine="642" w:firstLineChars="200"/>
      </w:pPr>
      <w:r>
        <w:rPr>
          <w:rFonts w:hint="eastAsia"/>
          <w:b/>
          <w:bCs/>
        </w:rPr>
        <w:t>书面摸排：</w:t>
      </w:r>
      <w:r>
        <w:rPr>
          <w:rFonts w:hint="eastAsia"/>
        </w:rPr>
        <w:t>下发专项调研通知，全面摸排全省医药规上企业、创新药械在研项目、省级以上创新平台、产业集群、产业链关键配套短板；</w:t>
      </w:r>
    </w:p>
    <w:p>
      <w:pPr>
        <w:spacing w:line="600" w:lineRule="exact"/>
        <w:ind w:firstLine="640" w:firstLineChars="200"/>
      </w:pPr>
      <w:r>
        <w:rPr>
          <w:rFonts w:hint="eastAsia"/>
        </w:rPr>
        <w:t>最终于2026年6月初形成《山东省医药工业调研报告》。</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（二）文本起草阶段</w:t>
      </w:r>
    </w:p>
    <w:p>
      <w:pPr>
        <w:spacing w:line="600" w:lineRule="exact"/>
        <w:ind w:firstLine="640" w:firstLineChars="200"/>
      </w:pPr>
      <w:r>
        <w:rPr>
          <w:rFonts w:hint="eastAsia"/>
        </w:rPr>
        <w:t>在调研成果基础上，结合国家、省“十五五”规划纲要框架，先期形成《山东省医药工业“十五五”规划（初稿）》。组织省内药学、医疗器械、产业经济、绿色制造领域专家开展多轮论证，针对生物药 CGT、ADC、高端医疗器械核心零部件、中药现代化、原料药绿色转型等重点赛道修改完善。 按照全省专项行动方案统一体例要求，将规划文本优化调整为行动方案体例，聚焦可落地工程、量化发展指标、细分赛道任务，形成方案初稿。</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（三）多轮分层征求意见阶段</w:t>
      </w:r>
    </w:p>
    <w:p>
      <w:pPr>
        <w:spacing w:line="600" w:lineRule="exact"/>
        <w:ind w:firstLine="640" w:firstLineChars="200"/>
      </w:pPr>
      <w:r>
        <w:rPr>
          <w:rFonts w:hint="eastAsia"/>
        </w:rPr>
        <w:t>2026年4月，征求厅有关处室意见，形成《行动方案》征求意见稿。5月组织16市工信部门及省内重点企业等征求意见，共收到反馈35余条，采纳25条，部分采纳5条，均达成一致意见。6月18日征求省发改、科技、卫生健康、药监局部门意见，均无意见。</w:t>
      </w:r>
    </w:p>
    <w:p>
      <w:pPr>
        <w:pStyle w:val="2"/>
        <w:widowControl/>
        <w:spacing w:beforeAutospacing="0" w:afterAutospacing="0" w:line="360" w:lineRule="atLeast"/>
        <w:ind w:firstLine="640" w:firstLineChars="200"/>
        <w:rPr>
          <w:rFonts w:ascii="黑体" w:hAnsi="黑体" w:eastAsia="黑体" w:cs="黑体"/>
          <w:b w:val="0"/>
          <w:bCs w:val="0"/>
          <w:kern w:val="2"/>
          <w:sz w:val="32"/>
          <w:szCs w:val="32"/>
        </w:rPr>
      </w:pPr>
      <w:r>
        <w:rPr>
          <w:rFonts w:ascii="黑体" w:hAnsi="黑体" w:eastAsia="黑体" w:cs="黑体"/>
          <w:b w:val="0"/>
          <w:bCs w:val="0"/>
          <w:kern w:val="2"/>
          <w:sz w:val="32"/>
          <w:szCs w:val="32"/>
        </w:rPr>
        <w:t>三、总体框架和主要内容</w:t>
      </w:r>
    </w:p>
    <w:p>
      <w:pPr>
        <w:spacing w:line="600" w:lineRule="exact"/>
        <w:ind w:firstLine="640" w:firstLineChars="200"/>
      </w:pPr>
      <w:r>
        <w:rPr>
          <w:rFonts w:hint="eastAsia"/>
        </w:rPr>
        <w:t>本行动方案全文共五大板块，分别为发展基础与面临形势、总体要求、重点发展领域、重点实施工程、保障措施，立足全产业链布局，统筹传统医药升级与未来生物赛道布局，明确发展目标、细分赛道、七大专项工程与配套保障政策。</w:t>
      </w:r>
    </w:p>
    <w:p>
      <w:pPr>
        <w:spacing w:line="600" w:lineRule="exact"/>
        <w:ind w:firstLine="640" w:firstLineChars="200"/>
        <w:rPr>
          <w:rFonts w:hint="eastAsia" w:ascii="楷体_GB2312" w:hAnsi="楷体_GB2312" w:eastAsia="楷体_GB2312" w:cs="楷体_GB2312"/>
        </w:rPr>
      </w:pPr>
      <w:r>
        <w:rPr>
          <w:rFonts w:hint="eastAsia" w:ascii="楷体_GB2312" w:hAnsi="楷体_GB2312" w:eastAsia="楷体_GB2312" w:cs="楷体_GB2312"/>
        </w:rPr>
        <w:t>（一）第一部分：发展基础与面临形势。</w:t>
      </w:r>
    </w:p>
    <w:p>
      <w:pPr>
        <w:spacing w:line="600" w:lineRule="exact"/>
        <w:ind w:firstLine="642" w:firstLineChars="200"/>
      </w:pPr>
      <w:r>
        <w:rPr>
          <w:rFonts w:hint="eastAsia"/>
          <w:b/>
          <w:bCs/>
        </w:rPr>
        <w:t>发展基础：</w:t>
      </w:r>
      <w:r>
        <w:rPr>
          <w:rFonts w:hint="eastAsia"/>
        </w:rPr>
        <w:t>系统总结 “十四五” 山东医药产业六大优势：全链条产业体系成型、产业规模全国领先、细分赛道特色突出、原创创新成果丰硕、产业集群梯次布局、海洋医药、CGT、核医药等新兴赛道抢占先发优势，列举 1 类创新药、创新医疗器械、国家级产业集群等标志性成果；</w:t>
      </w:r>
    </w:p>
    <w:p>
      <w:pPr>
        <w:spacing w:line="600" w:lineRule="exact"/>
        <w:ind w:firstLine="642" w:firstLineChars="200"/>
      </w:pPr>
      <w:r>
        <w:rPr>
          <w:rFonts w:hint="eastAsia"/>
          <w:b/>
          <w:bCs/>
        </w:rPr>
        <w:t>发展形势：</w:t>
      </w:r>
      <w:r>
        <w:rPr>
          <w:rFonts w:hint="eastAsia"/>
        </w:rPr>
        <w:t>客观分析国际全球技术竞争、贸易壁垒加剧，国内老龄化带来健康消费扩容、新质生产力转型要求，技术端绿色低碳、AI 制药、合成生物加速变革三重机遇；同时点明产业核心短板，明确 “十五五” 阶段产业升级核心方向。</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（二）第二部分：总体要求</w:t>
      </w:r>
    </w:p>
    <w:p>
      <w:pPr>
        <w:spacing w:line="600" w:lineRule="exact"/>
        <w:ind w:firstLine="642" w:firstLineChars="200"/>
      </w:pPr>
      <w:r>
        <w:rPr>
          <w:rFonts w:hint="eastAsia"/>
          <w:b/>
          <w:bCs/>
        </w:rPr>
        <w:t>指导思想：</w:t>
      </w:r>
      <w:r>
        <w:rPr>
          <w:rFonts w:hint="eastAsia"/>
        </w:rPr>
        <w:t>锚定全省 “走在前、挑大梁” 总定位，以培育医药领域新质生产力为核心，聚焦全产业链价值跃升，突破 “卡脖子” 技术，推动产业高端化、智能化、绿色化、融合化，建设国际影响力创新型医药强省；</w:t>
      </w:r>
    </w:p>
    <w:p>
      <w:pPr>
        <w:spacing w:line="600" w:lineRule="exact"/>
        <w:ind w:firstLine="642" w:firstLineChars="200"/>
      </w:pPr>
      <w:r>
        <w:rPr>
          <w:rFonts w:hint="eastAsia"/>
          <w:b/>
          <w:bCs/>
        </w:rPr>
        <w:t>四大基本原则</w:t>
      </w:r>
      <w:r>
        <w:rPr>
          <w:rFonts w:hint="eastAsia"/>
        </w:rPr>
        <w:t>：创新驱动源头突破、质量为本安全第一、保障供给优化结构、绿色发展数智赋能；</w:t>
      </w:r>
    </w:p>
    <w:p>
      <w:pPr>
        <w:spacing w:line="600" w:lineRule="exact"/>
        <w:ind w:firstLine="642" w:firstLineChars="200"/>
      </w:pPr>
      <w:r>
        <w:rPr>
          <w:rFonts w:hint="eastAsia"/>
          <w:b/>
          <w:bCs/>
        </w:rPr>
        <w:t>2030 年量化发展目标：</w:t>
      </w:r>
      <w:r>
        <w:rPr>
          <w:rFonts w:hint="eastAsia"/>
        </w:rPr>
        <w:t>设置创新能力、规模效益、产业结构、绿色智造、开放合作五大维度指标，核心指标包括医药工业营收突破 4000 亿元、创新药械上市 20 个以上、智能制造全国标杆、深度融入全球医药产业链。</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（三）第三部分：六大重点发展领域</w:t>
      </w:r>
    </w:p>
    <w:p>
      <w:pPr>
        <w:spacing w:line="600" w:lineRule="exact"/>
        <w:ind w:firstLine="640" w:firstLineChars="200"/>
      </w:pPr>
      <w:r>
        <w:rPr>
          <w:rFonts w:hint="eastAsia"/>
        </w:rPr>
        <w:t>覆盖医药全产业链细分赛道，配套专栏明确细分技术、产品攻关方向，实现全链条统筹布局：</w:t>
      </w:r>
    </w:p>
    <w:p>
      <w:pPr>
        <w:spacing w:line="600" w:lineRule="exact"/>
        <w:ind w:firstLine="642" w:firstLineChars="200"/>
      </w:pPr>
      <w:r>
        <w:rPr>
          <w:rFonts w:hint="eastAsia"/>
          <w:b/>
          <w:bCs/>
        </w:rPr>
        <w:t>生物药：</w:t>
      </w:r>
      <w:r>
        <w:rPr>
          <w:rFonts w:hint="eastAsia"/>
        </w:rPr>
        <w:t>抗体药物、重组蛋白、创新疫苗、CGT、海洋生物药、合成生物学等前沿生物技术；</w:t>
      </w:r>
    </w:p>
    <w:p>
      <w:pPr>
        <w:spacing w:line="600" w:lineRule="exact"/>
        <w:ind w:firstLine="642" w:firstLineChars="200"/>
      </w:pPr>
      <w:r>
        <w:rPr>
          <w:rFonts w:hint="eastAsia"/>
          <w:b/>
          <w:bCs/>
        </w:rPr>
        <w:t>化学药：</w:t>
      </w:r>
      <w:r>
        <w:rPr>
          <w:rFonts w:hint="eastAsia"/>
        </w:rPr>
        <w:t>高端特色原料药、化学创新药、仿制药、缓控释 / 纳米等高端制剂；</w:t>
      </w:r>
    </w:p>
    <w:p>
      <w:pPr>
        <w:spacing w:line="600" w:lineRule="exact"/>
        <w:ind w:firstLine="642" w:firstLineChars="200"/>
      </w:pPr>
      <w:r>
        <w:rPr>
          <w:rFonts w:hint="eastAsia"/>
          <w:b/>
          <w:bCs/>
        </w:rPr>
        <w:t>中药：</w:t>
      </w:r>
      <w:r>
        <w:rPr>
          <w:rFonts w:hint="eastAsia"/>
        </w:rPr>
        <w:t>道地药材标准化、中药创新药、配方颗粒、中药智能制造、药食同源；</w:t>
      </w:r>
    </w:p>
    <w:p>
      <w:pPr>
        <w:spacing w:line="600" w:lineRule="exact"/>
        <w:ind w:firstLine="642" w:firstLineChars="200"/>
      </w:pPr>
      <w:r>
        <w:rPr>
          <w:rFonts w:hint="eastAsia"/>
          <w:b/>
          <w:bCs/>
        </w:rPr>
        <w:t>医疗器械：</w:t>
      </w:r>
      <w:r>
        <w:rPr>
          <w:rFonts w:hint="eastAsia"/>
        </w:rPr>
        <w:t>高端影像设备、IVD、高值可降解耗材、手术机器人、家用康复器械；</w:t>
      </w:r>
    </w:p>
    <w:p>
      <w:pPr>
        <w:spacing w:line="600" w:lineRule="exact"/>
        <w:ind w:firstLine="642" w:firstLineChars="200"/>
      </w:pPr>
      <w:r>
        <w:rPr>
          <w:rFonts w:hint="eastAsia"/>
          <w:b/>
          <w:bCs/>
        </w:rPr>
        <w:t>药用包装与辅料：</w:t>
      </w:r>
      <w:r>
        <w:rPr>
          <w:rFonts w:hint="eastAsia"/>
        </w:rPr>
        <w:t>中硼硅玻璃、高阻隔复合材料、可降解药用耗材；</w:t>
      </w:r>
    </w:p>
    <w:p>
      <w:pPr>
        <w:spacing w:line="600" w:lineRule="exact"/>
        <w:ind w:firstLine="642" w:firstLineChars="200"/>
      </w:pPr>
      <w:r>
        <w:rPr>
          <w:rFonts w:hint="eastAsia"/>
          <w:b/>
          <w:bCs/>
        </w:rPr>
        <w:t>制药设备：</w:t>
      </w:r>
      <w:r>
        <w:rPr>
          <w:rFonts w:hint="eastAsia"/>
        </w:rPr>
        <w:t>一次性生物反应器、智能无菌产线、医药检测装备国产化。</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（四）第四部分：七大重点实施工程（核心落地抓手）</w:t>
      </w:r>
    </w:p>
    <w:p>
      <w:pPr>
        <w:spacing w:line="600" w:lineRule="exact"/>
        <w:ind w:firstLine="640" w:firstLineChars="200"/>
      </w:pPr>
      <w:r>
        <w:rPr>
          <w:rFonts w:hint="eastAsia"/>
        </w:rPr>
        <w:t>全部设置可量化、可考核工作任务，作为 “十五五” 产业推进核心载体：</w:t>
      </w:r>
    </w:p>
    <w:p>
      <w:pPr>
        <w:spacing w:line="600" w:lineRule="exact"/>
        <w:ind w:firstLine="642" w:firstLineChars="200"/>
      </w:pPr>
      <w:r>
        <w:rPr>
          <w:rFonts w:hint="eastAsia"/>
          <w:b/>
          <w:bCs/>
        </w:rPr>
        <w:t>源头创新突破工程：</w:t>
      </w:r>
      <w:r>
        <w:rPr>
          <w:rFonts w:hint="eastAsia"/>
        </w:rPr>
        <w:t>强化生命科学基础研究、搭建多层级国家级 / 省级创新平台、建设概念验证与中试载体；</w:t>
      </w:r>
    </w:p>
    <w:p>
      <w:pPr>
        <w:spacing w:line="600" w:lineRule="exact"/>
        <w:ind w:firstLine="642" w:firstLineChars="200"/>
      </w:pPr>
      <w:r>
        <w:rPr>
          <w:rFonts w:hint="eastAsia"/>
          <w:b/>
          <w:bCs/>
        </w:rPr>
        <w:t>智能制造工程：</w:t>
      </w:r>
      <w:r>
        <w:rPr>
          <w:rFonts w:hint="eastAsia"/>
        </w:rPr>
        <w:t>企业数字化改造、医药行业工业互联网、中药智能产线、AI 全流程赋能药物研发与生产；</w:t>
      </w:r>
    </w:p>
    <w:p>
      <w:pPr>
        <w:spacing w:line="600" w:lineRule="exact"/>
        <w:ind w:firstLine="642" w:firstLineChars="200"/>
      </w:pPr>
      <w:r>
        <w:rPr>
          <w:rFonts w:hint="eastAsia"/>
          <w:b/>
          <w:bCs/>
        </w:rPr>
        <w:t>产业链协同工程：</w:t>
      </w:r>
      <w:r>
        <w:rPr>
          <w:rFonts w:hint="eastAsia"/>
        </w:rPr>
        <w:t>培育链主企业、梯度培育专精特新中小企业、实施补链强链工程，破解核心零部件、高端耗材卡脖子问题；</w:t>
      </w:r>
    </w:p>
    <w:p>
      <w:pPr>
        <w:spacing w:line="600" w:lineRule="exact"/>
        <w:ind w:firstLine="642" w:firstLineChars="200"/>
      </w:pPr>
      <w:r>
        <w:rPr>
          <w:rFonts w:hint="eastAsia"/>
          <w:b/>
          <w:bCs/>
        </w:rPr>
        <w:t>药品供应保障工程：</w:t>
      </w:r>
      <w:r>
        <w:rPr>
          <w:rFonts w:hint="eastAsia"/>
        </w:rPr>
        <w:t>稳定基本药物产能、短缺药品监测储备、加快罕见病 / 儿童 / 老年临床急需药械研发；</w:t>
      </w:r>
    </w:p>
    <w:p>
      <w:pPr>
        <w:spacing w:line="600" w:lineRule="exact"/>
        <w:ind w:firstLine="642" w:firstLineChars="200"/>
      </w:pPr>
      <w:r>
        <w:rPr>
          <w:rFonts w:hint="eastAsia"/>
          <w:b/>
          <w:bCs/>
        </w:rPr>
        <w:t>品质提升工程：</w:t>
      </w:r>
      <w:r>
        <w:rPr>
          <w:rFonts w:hint="eastAsia"/>
        </w:rPr>
        <w:t>对标国际 GMP/ICH 标准、打造 “品质鲁药” 公共品牌、搭建药品器械全链条智慧追溯体系；</w:t>
      </w:r>
    </w:p>
    <w:p>
      <w:pPr>
        <w:spacing w:line="600" w:lineRule="exact"/>
        <w:ind w:firstLine="642" w:firstLineChars="200"/>
      </w:pPr>
      <w:r>
        <w:rPr>
          <w:rFonts w:hint="eastAsia"/>
          <w:b/>
          <w:bCs/>
        </w:rPr>
        <w:t>绿色安全工程：</w:t>
      </w:r>
      <w:r>
        <w:rPr>
          <w:rFonts w:hint="eastAsia"/>
        </w:rPr>
        <w:t>原料药绿色工艺改造、药渣循环利用、零碳园区建设、危化品 / 放射性药品全流程安全管控；</w:t>
      </w:r>
    </w:p>
    <w:p>
      <w:pPr>
        <w:spacing w:line="600" w:lineRule="exact"/>
        <w:ind w:firstLine="642" w:firstLineChars="200"/>
      </w:pPr>
      <w:r>
        <w:rPr>
          <w:rFonts w:hint="eastAsia"/>
          <w:b/>
          <w:bCs/>
        </w:rPr>
        <w:t>国际化拓展工程：</w:t>
      </w:r>
      <w:r>
        <w:rPr>
          <w:rFonts w:hint="eastAsia"/>
        </w:rPr>
        <w:t>国际注册认证、海外市场开拓、全球同步研发、引进海外高端生物医药人才。</w:t>
      </w:r>
    </w:p>
    <w:p>
      <w:pPr>
        <w:pStyle w:val="3"/>
        <w:widowControl/>
        <w:spacing w:beforeAutospacing="0" w:afterAutospacing="0" w:line="360" w:lineRule="atLeast"/>
        <w:ind w:firstLine="640" w:firstLineChars="200"/>
        <w:rPr>
          <w:rFonts w:ascii="楷体_GB2312" w:hAnsi="楷体_GB2312" w:eastAsia="楷体_GB2312" w:cs="楷体_GB2312"/>
          <w:b w:val="0"/>
          <w:bCs w:val="0"/>
          <w:kern w:val="2"/>
          <w:sz w:val="32"/>
          <w:szCs w:val="32"/>
        </w:rPr>
      </w:pPr>
      <w:r>
        <w:rPr>
          <w:rFonts w:ascii="楷体_GB2312" w:hAnsi="楷体_GB2312" w:eastAsia="楷体_GB2312" w:cs="楷体_GB2312"/>
          <w:b w:val="0"/>
          <w:bCs w:val="0"/>
          <w:kern w:val="2"/>
          <w:sz w:val="32"/>
          <w:szCs w:val="32"/>
        </w:rPr>
        <w:t>（五）第五部分：五大保障措施</w:t>
      </w:r>
    </w:p>
    <w:p>
      <w:pPr>
        <w:spacing w:line="600" w:lineRule="exact"/>
        <w:ind w:firstLine="640" w:firstLineChars="200"/>
      </w:pPr>
      <w:r>
        <w:rPr>
          <w:rFonts w:hint="eastAsia"/>
        </w:rPr>
        <w:t>从统筹机制、资金政策、营商监管、行业服务多维度构建支撑体系：</w:t>
      </w:r>
    </w:p>
    <w:p>
      <w:pPr>
        <w:spacing w:line="600" w:lineRule="exact"/>
        <w:ind w:firstLine="642" w:firstLineChars="200"/>
      </w:pPr>
      <w:r>
        <w:rPr>
          <w:rFonts w:hint="eastAsia"/>
          <w:b/>
          <w:bCs/>
        </w:rPr>
        <w:t>强化链长制统筹协调：</w:t>
      </w:r>
      <w:r>
        <w:rPr>
          <w:rFonts w:hint="eastAsia"/>
        </w:rPr>
        <w:t>多部门联动，压实地市园区主体责任，动态评估调整政策；</w:t>
      </w:r>
    </w:p>
    <w:p>
      <w:pPr>
        <w:spacing w:line="600" w:lineRule="exact"/>
        <w:ind w:firstLine="642" w:firstLineChars="200"/>
      </w:pPr>
      <w:r>
        <w:rPr>
          <w:rFonts w:hint="eastAsia"/>
          <w:b/>
          <w:bCs/>
        </w:rPr>
        <w:t>加大财政与金融支持：</w:t>
      </w:r>
      <w:r>
        <w:rPr>
          <w:rFonts w:hint="eastAsia"/>
        </w:rPr>
        <w:t>延续创新药械补助、设立百亿级生物医药专项母基金、推广知识产权质押融资；</w:t>
      </w:r>
    </w:p>
    <w:p>
      <w:pPr>
        <w:spacing w:line="600" w:lineRule="exact"/>
        <w:ind w:firstLine="642" w:firstLineChars="200"/>
      </w:pPr>
      <w:r>
        <w:rPr>
          <w:rFonts w:hint="eastAsia"/>
          <w:b/>
          <w:bCs/>
        </w:rPr>
        <w:t>优化审评监管营商环境：</w:t>
      </w:r>
      <w:r>
        <w:rPr>
          <w:rFonts w:hint="eastAsia"/>
        </w:rPr>
        <w:t>创新药械 “一品一策” 辅导、推动研究型医院与临床转化；</w:t>
      </w:r>
    </w:p>
    <w:p>
      <w:pPr>
        <w:spacing w:line="600" w:lineRule="exact"/>
        <w:ind w:firstLine="642" w:firstLineChars="200"/>
      </w:pPr>
      <w:r>
        <w:rPr>
          <w:rFonts w:hint="eastAsia"/>
          <w:b/>
          <w:bCs/>
        </w:rPr>
        <w:t>强化知识产权保护：</w:t>
      </w:r>
      <w:r>
        <w:rPr>
          <w:rFonts w:hint="eastAsia"/>
        </w:rPr>
        <w:t>加大创新成果执法保护力度；</w:t>
      </w:r>
    </w:p>
    <w:p>
      <w:pPr>
        <w:spacing w:line="600" w:lineRule="exact"/>
        <w:ind w:firstLine="642" w:firstLineChars="200"/>
      </w:pPr>
      <w:r>
        <w:rPr>
          <w:rFonts w:hint="eastAsia"/>
          <w:b/>
          <w:bCs/>
        </w:rPr>
        <w:t>发挥行业组织服务作用：</w:t>
      </w:r>
      <w:r>
        <w:rPr>
          <w:rFonts w:hint="eastAsia"/>
        </w:rPr>
        <w:t>政策解读、国际合规服务、行业自律、产业品牌推广。</w:t>
      </w:r>
    </w:p>
    <w:p>
      <w:pPr>
        <w:pStyle w:val="2"/>
        <w:widowControl/>
        <w:spacing w:beforeAutospacing="0" w:afterAutospacing="0" w:line="360" w:lineRule="atLeast"/>
        <w:ind w:firstLine="640" w:firstLineChars="200"/>
        <w:rPr>
          <w:rFonts w:ascii="黑体" w:hAnsi="黑体" w:eastAsia="黑体" w:cs="黑体"/>
          <w:b w:val="0"/>
          <w:bCs w:val="0"/>
          <w:kern w:val="2"/>
          <w:sz w:val="32"/>
          <w:szCs w:val="32"/>
        </w:rPr>
      </w:pPr>
      <w:r>
        <w:rPr>
          <w:rFonts w:ascii="黑体" w:hAnsi="黑体" w:eastAsia="黑体" w:cs="黑体"/>
          <w:b w:val="0"/>
          <w:bCs w:val="0"/>
          <w:kern w:val="2"/>
          <w:sz w:val="32"/>
          <w:szCs w:val="32"/>
        </w:rPr>
        <w:t>四、下步工作打算</w:t>
      </w:r>
    </w:p>
    <w:p>
      <w:pPr>
        <w:spacing w:line="600" w:lineRule="exact"/>
        <w:ind w:firstLine="642" w:firstLineChars="200"/>
      </w:pPr>
      <w:r>
        <w:rPr>
          <w:rFonts w:hint="eastAsia"/>
          <w:b/>
          <w:bCs/>
        </w:rPr>
        <w:t>规范完成文件印发与政策宣贯：</w:t>
      </w:r>
      <w:r>
        <w:rPr>
          <w:rFonts w:hint="eastAsia"/>
        </w:rPr>
        <w:t>履行内部审核、部门会签、公示等法定程序后，正式印发行动方案；同步配套政策解读稿、产业宣讲材料，面向各地市、园区、企业开展线上线下专题培训，明晰赛道扶持方向、项目申报渠道。</w:t>
      </w:r>
    </w:p>
    <w:p>
      <w:pPr>
        <w:spacing w:line="600" w:lineRule="exact"/>
        <w:ind w:firstLine="642" w:firstLineChars="200"/>
      </w:pPr>
      <w:r>
        <w:rPr>
          <w:rFonts w:hint="eastAsia"/>
          <w:b/>
          <w:bCs/>
        </w:rPr>
        <w:t>任务清单化分解落地：</w:t>
      </w:r>
      <w:r>
        <w:rPr>
          <w:rFonts w:hint="eastAsia"/>
        </w:rPr>
        <w:t>围绕七大实施工程、六大重点领域，编制年度任务分解台账，明确责任部门、地市、园区，设置年度阶段性目标，建立清单管理、项目推进、台账督办常态化机制。</w:t>
      </w:r>
    </w:p>
    <w:p>
      <w:pPr>
        <w:spacing w:line="600" w:lineRule="exact"/>
        <w:ind w:firstLine="642" w:firstLineChars="200"/>
      </w:pPr>
      <w:r>
        <w:rPr>
          <w:rFonts w:hint="eastAsia"/>
          <w:b/>
          <w:bCs/>
        </w:rPr>
        <w:t>建立产业动态监测评估机制：</w:t>
      </w:r>
      <w:r>
        <w:rPr>
          <w:rFonts w:hint="eastAsia"/>
        </w:rPr>
        <w:t>搭建全省医药工业运行监测平台，按月调度营收、创新药申报、重点项目投产、绿色改造等核心指标；每年开展行动方案实施成效评估，根据产业技术迭代、市场政策变化动态优化扶持举措。</w:t>
      </w:r>
    </w:p>
    <w:p>
      <w:pPr>
        <w:spacing w:line="600" w:lineRule="exact"/>
        <w:ind w:firstLine="642" w:firstLineChars="200"/>
      </w:pPr>
      <w:r>
        <w:rPr>
          <w:rFonts w:hint="eastAsia"/>
          <w:b/>
          <w:bCs/>
        </w:rPr>
        <w:t>跨部门政策协同联动：</w:t>
      </w:r>
      <w:r>
        <w:rPr>
          <w:rFonts w:hint="eastAsia"/>
        </w:rPr>
        <w:t>常态化对接发改、科技、财政、药监、医保等省直部门，统筹科技创新专项、产业基金、医保创新药支付、医疗器械入院、土地环保等配套政策，形成政策合力。同步联动《山东省生物制造产业 “十五五” 行动方案》，推动生物医药、生物制造双向融合发展。</w:t>
      </w:r>
    </w:p>
    <w:p>
      <w:pPr>
        <w:spacing w:line="600" w:lineRule="exact"/>
        <w:ind w:firstLine="642" w:firstLineChars="200"/>
      </w:pPr>
      <w:r>
        <w:rPr>
          <w:rFonts w:hint="eastAsia"/>
          <w:b/>
          <w:bCs/>
        </w:rPr>
        <w:t>建立重点项目储备库：</w:t>
      </w:r>
      <w:r>
        <w:rPr>
          <w:rFonts w:hint="eastAsia"/>
        </w:rPr>
        <w:t>围绕 CGT、ADC、高端医疗器械、海洋医药、原料药绿色升级、中药现代化等重点赛道，谋划储备技术攻关、产业化、创新平台类重大项目，实行全周期跟踪服务，推动项目早落地、早投产，夯实产业发展项目支撑。</w:t>
      </w:r>
    </w:p>
    <w:p>
      <w:pPr>
        <w:spacing w:line="600" w:lineRule="exact"/>
        <w:ind w:firstLine="642" w:firstLineChars="200"/>
      </w:pPr>
      <w:r>
        <w:rPr>
          <w:rFonts w:hint="eastAsia"/>
          <w:b/>
          <w:bCs/>
        </w:rPr>
        <w:t>产业集群差异化培育：</w:t>
      </w:r>
      <w:r>
        <w:rPr>
          <w:rFonts w:hint="eastAsia"/>
        </w:rPr>
        <w:t>指导济南、青岛、烟台、临沂、威海等产业集聚地市结合自身资源禀赋制定配套实施细则，推动国家级、省级医药产业集群错位互补发展，打造北方医药产业核心增长极。</w:t>
      </w:r>
    </w:p>
    <w:sectPr>
      <w:footerReference r:id="rId3" w:type="default"/>
      <w:pgSz w:w="11906" w:h="16838"/>
      <w:pgMar w:top="1440" w:right="1519" w:bottom="1440"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posOffset>2783840</wp:posOffset>
              </wp:positionH>
              <wp:positionV relativeFrom="paragraph">
                <wp:posOffset>-52705</wp:posOffset>
              </wp:positionV>
              <wp:extent cx="107315" cy="1905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07315" cy="190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0"/>
                              <w:szCs w:val="36"/>
                            </w:rPr>
                          </w:pPr>
                          <w:r>
                            <w:rPr>
                              <w:sz w:val="20"/>
                              <w:szCs w:val="36"/>
                            </w:rPr>
                            <w:fldChar w:fldCharType="begin"/>
                          </w:r>
                          <w:r>
                            <w:rPr>
                              <w:sz w:val="20"/>
                              <w:szCs w:val="36"/>
                            </w:rPr>
                            <w:instrText xml:space="preserve"> PAGE  \* MERGEFORMAT </w:instrText>
                          </w:r>
                          <w:r>
                            <w:rPr>
                              <w:sz w:val="20"/>
                              <w:szCs w:val="36"/>
                            </w:rPr>
                            <w:fldChar w:fldCharType="separate"/>
                          </w:r>
                          <w:r>
                            <w:rPr>
                              <w:sz w:val="20"/>
                              <w:szCs w:val="36"/>
                            </w:rPr>
                            <w:t>1</w:t>
                          </w:r>
                          <w:r>
                            <w:rPr>
                              <w:sz w:val="20"/>
                              <w:szCs w:val="36"/>
                            </w:rPr>
                            <w:fldChar w:fldCharType="end"/>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219.2pt;margin-top:-4.15pt;height:15pt;width:8.45pt;mso-position-horizontal-relative:margin;z-index:251659264;mso-width-relative:page;mso-height-relative:page;" filled="f" stroked="f" coordsize="21600,21600" o:gfxdata="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Bn37ka2QAAAAkBAAAPAAAAAAAAAAEAIAAAADgAAABkcnMvZG93bnJldi54bWxQ&#10;SwECFAAUAAAACACHTuJAKJC+UhkCAAAZBAAADgAAAAAAAAABACAAAAA+AQAAZHJzL2Uyb0RvYy54&#10;bWxQSwUGAAAAAAYABgBZAQAAyQUAAAAA&#10;">
              <v:fill on="f" focussize="0,0"/>
              <v:stroke on="f" weight="0.5pt"/>
              <v:imagedata o:title=""/>
              <o:lock v:ext="edit" aspectratio="f"/>
              <v:textbox inset="0mm,0mm,0mm,0mm">
                <w:txbxContent>
                  <w:p>
                    <w:pPr>
                      <w:pStyle w:val="4"/>
                      <w:rPr>
                        <w:sz w:val="20"/>
                        <w:szCs w:val="36"/>
                      </w:rPr>
                    </w:pPr>
                    <w:r>
                      <w:rPr>
                        <w:sz w:val="20"/>
                        <w:szCs w:val="36"/>
                      </w:rPr>
                      <w:fldChar w:fldCharType="begin"/>
                    </w:r>
                    <w:r>
                      <w:rPr>
                        <w:sz w:val="20"/>
                        <w:szCs w:val="36"/>
                      </w:rPr>
                      <w:instrText xml:space="preserve"> PAGE  \* MERGEFORMAT </w:instrText>
                    </w:r>
                    <w:r>
                      <w:rPr>
                        <w:sz w:val="20"/>
                        <w:szCs w:val="36"/>
                      </w:rPr>
                      <w:fldChar w:fldCharType="separate"/>
                    </w:r>
                    <w:r>
                      <w:rPr>
                        <w:sz w:val="20"/>
                        <w:szCs w:val="36"/>
                      </w:rPr>
                      <w:t>1</w:t>
                    </w:r>
                    <w:r>
                      <w:rPr>
                        <w:sz w:val="20"/>
                        <w:szCs w:val="36"/>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true"/>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2373CF"/>
    <w:rsid w:val="00504FCF"/>
    <w:rsid w:val="00920B72"/>
    <w:rsid w:val="00AC6E9F"/>
    <w:rsid w:val="00C866EB"/>
    <w:rsid w:val="00D413BC"/>
    <w:rsid w:val="242373CF"/>
    <w:rsid w:val="46EE480C"/>
    <w:rsid w:val="551E3DB6"/>
    <w:rsid w:val="579D04DE"/>
    <w:rsid w:val="662856A8"/>
    <w:rsid w:val="6DA02F53"/>
    <w:rsid w:val="6E580D8C"/>
    <w:rsid w:val="73EA3445"/>
    <w:rsid w:val="76DF5E79"/>
    <w:rsid w:val="79DF7B02"/>
    <w:rsid w:val="7F5E0657"/>
    <w:rsid w:val="ABDA2969"/>
    <w:rsid w:val="EF57C4C9"/>
    <w:rsid w:val="EFBD5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仿宋_GB2312"/>
      <w:kern w:val="2"/>
      <w:sz w:val="32"/>
      <w:szCs w:val="32"/>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1821</Words>
  <Characters>1841</Characters>
  <Lines>83</Lines>
  <Paragraphs>61</Paragraphs>
  <TotalTime>23</TotalTime>
  <ScaleCrop>false</ScaleCrop>
  <LinksUpToDate>false</LinksUpToDate>
  <CharactersWithSpaces>3601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2026-07-09T11:02:00Z</dcterms:created>
  <dc:creator>李海珍</dc:creator>
  <cp:lastModifiedBy>TianYQ</cp:lastModifiedBy>
  <dcterms:modified xsi:type="dcterms:W3CDTF">2026-08-18T14:55:03Z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B5CBEC439251483B9F1F05EB59179E14_13</vt:lpwstr>
  </property>
  <property fmtid="{D5CDD505-2E9C-101B-9397-08002B2CF9AE}" pid="4" name="KSOTemplateDocerSaveRecord">
    <vt:lpwstr>eyJoZGlkIjoiOTBmYmEwMWVjOTI5NWExMWM4Zjg3OGJiOWI1ZTEwMDciLCJ1c2VySWQiOiIyNDQzOTgwNzkifQ==</vt:lpwstr>
  </property>
</Properties>
</file>