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i w:val="0"/>
          <w:sz w:val="36"/>
          <w:szCs w:val="36"/>
        </w:rPr>
      </w:pPr>
      <w:r>
        <w:rPr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工业和信息化部办公厅关于开展铜、铝、铅锌、镁企业规范公告申报工作的通知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i w:val="0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工厅原〔2020〕236号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各省、自治区、直辖市及新疆生产建设兵团工业和信息化主管部门，相关中央企业: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    根据《铜冶炼行业规范条件》（2019年第35号公告）、《铝行业规范条件》（2020年第6号公告）、《铅锌行业规范条件》（2020年第7号公告）、《镁行业规范条件》（2020年第8号公告）有关要求，我部决定组织开展铜、铝、铅锌、镁行业规范管理工作。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    一、各地工业和信息化主管部门和中央企业按照规范条件要求，认真组织企业填报。企业自愿申请公告，按规范条件要求编制规范公告申请报告，并提交相关材料（需加盖企业公章）。已公告的企业，如需继续列入公告名单，按规范条件要求自愿重新申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    二、经初审后符合要求的，由省级工业和信息化主管部门或中央企业向我部提出规范公告申请（附审核意见），并以光盘形式附企业申请材料电子版（盖章扫描件）。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    三、请于2020年4月30日前将申报材料机要交换或邮政特快专递（EMS）至部（原材料工业司）。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90" w:lineRule="atLeast"/>
        <w:ind w:left="0" w:right="0"/>
        <w:jc w:val="both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    特此通知。</w:t>
      </w: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right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工业和信息化部办公厅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right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2020年3月30日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70707"/>
          <w:spacing w:val="0"/>
          <w:sz w:val="21"/>
          <w:szCs w:val="21"/>
          <w:bdr w:val="none" w:color="auto" w:sz="0" w:space="0"/>
        </w:rPr>
        <w:t>（联系人及电话：江 川 010-68205560）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04F8E"/>
    <w:rsid w:val="15404F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2020-04-01T06:24:00Z</dcterms:created>
  <dc:creator>ljb</dc:creator>
  <cp:lastModifiedBy>ljb</cp:lastModifiedBy>
  <dcterms:modified xsi:type="dcterms:W3CDTF">2020-04-01T06:24:54Z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