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关于《山东省推动工业领域设备更新</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实施方案》的起草说明</w:t>
      </w:r>
    </w:p>
    <w:bookmarkEnd w:id="0"/>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现将《山东省推动工业领域设备更新实施方案》的有关情况说明如下：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楷体_GB2312" w:hAnsi="楷体_GB2312" w:eastAsia="仿宋_GB2312" w:cs="楷体_GB2312"/>
          <w:b w:val="0"/>
          <w:bCs w:val="0"/>
          <w:sz w:val="32"/>
          <w:szCs w:val="32"/>
          <w:lang w:val="en-US" w:eastAsia="zh-CN"/>
        </w:rPr>
      </w:pPr>
      <w:r>
        <w:rPr>
          <w:rFonts w:hint="eastAsia" w:ascii="黑体" w:hAnsi="黑体" w:eastAsia="黑体" w:cs="黑体"/>
          <w:sz w:val="32"/>
          <w:szCs w:val="32"/>
          <w:lang w:val="en-US" w:eastAsia="zh-CN"/>
        </w:rPr>
        <w:t>一、制定文件的必要性。</w:t>
      </w:r>
      <w:r>
        <w:rPr>
          <w:rFonts w:hint="eastAsia" w:ascii="仿宋_GB2312" w:hAnsi="仿宋_GB2312" w:eastAsia="仿宋_GB2312" w:cs="仿宋_GB2312"/>
          <w:sz w:val="32"/>
          <w:szCs w:val="32"/>
          <w:highlight w:val="none"/>
          <w:lang w:val="en-US" w:eastAsia="zh-CN"/>
        </w:rPr>
        <w:t>深入贯彻党的二十大精神，统筹扩大内需和深化供给侧结构性改革，坚持标准引领与政策引导相结合，推动全省工业企业加快设备更新和高水平技术改造，全面提升高端化、智能化、绿色化、集群化发展水平，为培育发展新质生产力、加快推进新型工业化、建设先进制造业强省提供有力支撑。</w:t>
      </w:r>
      <w:r>
        <w:rPr>
          <w:rFonts w:hint="eastAsia" w:ascii="仿宋_GB2312" w:hAnsi="仿宋_GB2312" w:eastAsia="仿宋_GB2312" w:cs="仿宋_GB2312"/>
          <w:b/>
          <w:bCs/>
          <w:sz w:val="32"/>
          <w:szCs w:val="32"/>
          <w:lang w:val="en-US" w:eastAsia="zh-CN"/>
        </w:rPr>
        <w:t>一是紧跟国家部署。</w:t>
      </w:r>
      <w:r>
        <w:rPr>
          <w:rFonts w:hint="eastAsia" w:ascii="仿宋_GB2312" w:hAnsi="仿宋_GB2312" w:eastAsia="仿宋_GB2312" w:cs="仿宋_GB2312"/>
          <w:sz w:val="32"/>
          <w:szCs w:val="32"/>
          <w:lang w:val="en-US" w:eastAsia="zh-CN"/>
        </w:rPr>
        <w:t>中央财经委第四次会议、国务院常务会议对推动大规模设备更新和消费品以旧换新进行了安排部署，并以国务院名义印发《行动方案》，明确提出推进重点行业设备更新改造，为我们加快推动工业领域设备更新和技术改造坚定了决心信心、指明了工作方向。</w:t>
      </w:r>
      <w:r>
        <w:rPr>
          <w:rFonts w:hint="eastAsia" w:ascii="仿宋_GB2312" w:hAnsi="仿宋_GB2312" w:eastAsia="仿宋_GB2312" w:cs="仿宋_GB2312"/>
          <w:b/>
          <w:bCs/>
          <w:sz w:val="32"/>
          <w:szCs w:val="32"/>
          <w:lang w:val="en-US" w:eastAsia="zh-CN"/>
        </w:rPr>
        <w:t>二是强化统筹衔接。</w:t>
      </w:r>
      <w:r>
        <w:rPr>
          <w:rFonts w:hint="eastAsia" w:ascii="仿宋_GB2312" w:hAnsi="仿宋_GB2312" w:eastAsia="仿宋_GB2312" w:cs="仿宋_GB2312"/>
          <w:sz w:val="32"/>
          <w:szCs w:val="32"/>
        </w:rPr>
        <w:t>紧密衔接</w:t>
      </w:r>
      <w:r>
        <w:rPr>
          <w:rFonts w:hint="eastAsia" w:ascii="仿宋_GB2312" w:hAnsi="仿宋_GB2312" w:eastAsia="仿宋_GB2312" w:cs="仿宋_GB2312"/>
          <w:sz w:val="32"/>
          <w:szCs w:val="32"/>
          <w:lang w:eastAsia="zh-CN"/>
        </w:rPr>
        <w:t>我省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推动大规模设备更新和消费品以旧换新实施方案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以及工信部《推动工业领域设备更新实施方案》提出的先进设备更新、数字化转型、绿色装备推广、本质安全水平提升、国产化替代“五大行动”，</w:t>
      </w:r>
      <w:r>
        <w:rPr>
          <w:rFonts w:hint="eastAsia" w:ascii="仿宋_GB2312" w:hAnsi="仿宋_GB2312" w:eastAsia="仿宋_GB2312" w:cs="仿宋_GB2312"/>
          <w:sz w:val="32"/>
          <w:szCs w:val="32"/>
        </w:rPr>
        <w:t>研究提出具体工作目标、推进措施。</w:t>
      </w:r>
      <w:r>
        <w:rPr>
          <w:rFonts w:hint="eastAsia" w:ascii="仿宋_GB2312" w:hAnsi="仿宋_GB2312" w:eastAsia="仿宋_GB2312" w:cs="仿宋_GB2312"/>
          <w:b/>
          <w:bCs/>
          <w:sz w:val="32"/>
          <w:szCs w:val="32"/>
          <w:lang w:val="en-US" w:eastAsia="zh-CN"/>
        </w:rPr>
        <w:t>三是立足山东实际。</w:t>
      </w:r>
      <w:r>
        <w:rPr>
          <w:rFonts w:hint="eastAsia" w:ascii="仿宋_GB2312" w:hAnsi="仿宋_GB2312" w:eastAsia="仿宋_GB2312" w:cs="仿宋_GB2312"/>
          <w:sz w:val="32"/>
          <w:szCs w:val="32"/>
          <w:lang w:val="en-US" w:eastAsia="zh-CN"/>
        </w:rPr>
        <w:t>紧密结合对全省规上工业企业现有设备运行水平、近两年设备更新改造意愿、当前面临困难问题等的分析研判，进行充分吸收，确保符合山东实际，为全国工业领域设备更新</w:t>
      </w:r>
      <w:r>
        <w:rPr>
          <w:rFonts w:hint="eastAsia" w:ascii="仿宋_GB2312" w:hAnsi="仿宋_GB2312" w:eastAsia="仿宋_GB2312" w:cs="仿宋_GB2312"/>
          <w:sz w:val="32"/>
          <w:szCs w:val="32"/>
        </w:rPr>
        <w:t>贡献山东力量、展现山东担当</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仿宋_GB2312" w:cs="仿宋_GB2312"/>
          <w:sz w:val="32"/>
          <w:szCs w:val="32"/>
          <w:highlight w:val="none"/>
          <w:lang w:val="en-US" w:eastAsia="zh-CN"/>
        </w:rPr>
      </w:pPr>
      <w:r>
        <w:rPr>
          <w:rFonts w:hint="eastAsia" w:ascii="黑体" w:hAnsi="黑体" w:eastAsia="黑体" w:cs="黑体"/>
          <w:b w:val="0"/>
          <w:bCs w:val="0"/>
          <w:sz w:val="32"/>
          <w:szCs w:val="32"/>
          <w:lang w:val="en-US" w:eastAsia="zh-CN"/>
        </w:rPr>
        <w:t>二、起草依据。</w:t>
      </w:r>
      <w:r>
        <w:rPr>
          <w:rFonts w:hint="eastAsia" w:ascii="仿宋_GB2312" w:hAnsi="仿宋_GB2312" w:eastAsia="仿宋_GB2312" w:cs="仿宋_GB2312"/>
          <w:sz w:val="32"/>
          <w:szCs w:val="32"/>
          <w:highlight w:val="none"/>
        </w:rPr>
        <w:t>为深入贯彻党中央、国务院关于</w:t>
      </w:r>
      <w:r>
        <w:rPr>
          <w:rFonts w:hint="eastAsia" w:ascii="仿宋_GB2312" w:hAnsi="仿宋_GB2312" w:eastAsia="仿宋_GB2312" w:cs="仿宋_GB2312"/>
          <w:sz w:val="32"/>
          <w:szCs w:val="32"/>
          <w:highlight w:val="none"/>
          <w:lang w:val="en-US" w:eastAsia="zh-CN"/>
        </w:rPr>
        <w:t>推动大规模设备更新和消费品以旧换新决策部署</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全面</w:t>
      </w:r>
      <w:r>
        <w:rPr>
          <w:rFonts w:hint="eastAsia" w:ascii="仿宋_GB2312" w:hAnsi="仿宋_GB2312" w:eastAsia="仿宋_GB2312" w:cs="仿宋_GB2312"/>
          <w:sz w:val="32"/>
          <w:szCs w:val="32"/>
          <w:highlight w:val="none"/>
        </w:rPr>
        <w:t>落实</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山东省推动大规模设备更新和消费品以旧换新实施方案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要求</w:t>
      </w:r>
      <w:r>
        <w:rPr>
          <w:rFonts w:hint="eastAsia" w:ascii="仿宋_GB2312" w:hAnsi="仿宋_GB2312" w:eastAsia="仿宋_GB2312" w:cs="仿宋_GB2312"/>
          <w:sz w:val="32"/>
          <w:szCs w:val="32"/>
          <w:highlight w:val="none"/>
        </w:rPr>
        <w:t>，</w:t>
      </w:r>
      <w:r>
        <w:rPr>
          <w:rFonts w:hint="eastAsia" w:eastAsia="仿宋_GB2312" w:cs="仿宋_GB2312"/>
          <w:sz w:val="32"/>
          <w:szCs w:val="32"/>
          <w:highlight w:val="none"/>
          <w:lang w:val="en-US" w:eastAsia="zh-CN"/>
        </w:rPr>
        <w:t>由我厅牵头起草工业领域设备更新改造实施方案，</w:t>
      </w:r>
      <w:r>
        <w:rPr>
          <w:rFonts w:hint="eastAsia" w:ascii="仿宋_GB2312" w:hAnsi="仿宋_GB2312" w:eastAsia="仿宋_GB2312" w:cs="仿宋_GB2312"/>
          <w:sz w:val="32"/>
          <w:szCs w:val="32"/>
          <w:highlight w:val="none"/>
          <w:lang w:eastAsia="zh-CN"/>
        </w:rPr>
        <w:t>切实</w:t>
      </w:r>
      <w:r>
        <w:rPr>
          <w:rFonts w:hint="eastAsia" w:ascii="仿宋_GB2312" w:hAnsi="仿宋_GB2312" w:eastAsia="仿宋_GB2312" w:cs="仿宋_GB2312"/>
          <w:sz w:val="32"/>
          <w:szCs w:val="32"/>
          <w:highlight w:val="none"/>
          <w:lang w:val="en-US" w:eastAsia="zh-CN"/>
        </w:rPr>
        <w:t>推动全省工业领域设备更新和技术</w:t>
      </w:r>
      <w:r>
        <w:rPr>
          <w:rFonts w:hint="eastAsia" w:ascii="仿宋_GB2312" w:hAnsi="仿宋_GB2312" w:eastAsia="仿宋_GB2312" w:cs="仿宋_GB2312"/>
          <w:sz w:val="32"/>
          <w:szCs w:val="32"/>
          <w:highlight w:val="none"/>
        </w:rPr>
        <w:t>改造，</w:t>
      </w:r>
      <w:r>
        <w:rPr>
          <w:rFonts w:hint="eastAsia" w:ascii="仿宋_GB2312" w:hAnsi="仿宋_GB2312" w:eastAsia="仿宋_GB2312" w:cs="仿宋_GB2312"/>
          <w:sz w:val="32"/>
          <w:szCs w:val="32"/>
          <w:highlight w:val="none"/>
          <w:lang w:eastAsia="zh-CN"/>
        </w:rPr>
        <w:t>有效</w:t>
      </w:r>
      <w:r>
        <w:rPr>
          <w:rFonts w:hint="eastAsia" w:ascii="仿宋_GB2312" w:hAnsi="仿宋_GB2312" w:eastAsia="仿宋_GB2312" w:cs="仿宋_GB2312"/>
          <w:sz w:val="32"/>
          <w:szCs w:val="32"/>
          <w:highlight w:val="none"/>
          <w:lang w:val="en-US" w:eastAsia="zh-CN"/>
        </w:rPr>
        <w:t>发挥对稳增长、扩投资、促转型的拉动作用</w:t>
      </w:r>
      <w:r>
        <w:rPr>
          <w:rFonts w:hint="eastAsia"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beforeAutospacing="0" w:afterAutospacing="0" w:line="62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三、起草过程。</w:t>
      </w:r>
      <w:r>
        <w:rPr>
          <w:rFonts w:hint="eastAsia" w:ascii="仿宋_GB2312" w:hAnsi="仿宋_GB2312" w:eastAsia="仿宋_GB2312" w:cs="仿宋_GB2312"/>
          <w:b w:val="0"/>
          <w:bCs w:val="0"/>
          <w:snapToGrid/>
          <w:color w:val="auto"/>
          <w:kern w:val="2"/>
          <w:sz w:val="32"/>
          <w:szCs w:val="32"/>
          <w:highlight w:val="none"/>
          <w:lang w:val="en-US" w:eastAsia="zh-CN"/>
        </w:rPr>
        <w:t>《实施方案》</w:t>
      </w:r>
      <w:r>
        <w:rPr>
          <w:rFonts w:hint="eastAsia" w:ascii="仿宋_GB2312" w:hAnsi="仿宋_GB2312" w:eastAsia="仿宋_GB2312" w:cs="仿宋_GB2312"/>
          <w:b w:val="0"/>
          <w:bCs w:val="0"/>
          <w:color w:val="auto"/>
          <w:sz w:val="32"/>
          <w:szCs w:val="32"/>
          <w:highlight w:val="none"/>
          <w:lang w:val="en-US" w:eastAsia="zh-CN"/>
        </w:rPr>
        <w:t>初稿形成后，</w:t>
      </w:r>
      <w:r>
        <w:rPr>
          <w:rFonts w:hint="eastAsia" w:ascii="仿宋_GB2312" w:hAnsi="仿宋_GB2312" w:eastAsia="仿宋_GB2312" w:cs="仿宋_GB2312"/>
          <w:b w:val="0"/>
          <w:bCs w:val="0"/>
          <w:color w:val="auto"/>
          <w:kern w:val="2"/>
          <w:sz w:val="32"/>
          <w:szCs w:val="32"/>
          <w:highlight w:val="none"/>
          <w:lang w:val="en-US" w:eastAsia="zh-CN" w:bidi="ar-SA"/>
        </w:rPr>
        <w:t>征求了10余个省有关部门（单位）、有关行业协会、制造业企业的意见，并在网站上对社会公开征求意见。目前，我厅已结合各领域反馈情况，对《实施方案》进行了进一步修改完善，形成了目前的送审稿。</w:t>
      </w:r>
    </w:p>
    <w:p>
      <w:pPr>
        <w:keepNext w:val="0"/>
        <w:keepLines w:val="0"/>
        <w:pageBreakBefore w:val="0"/>
        <w:widowControl w:val="0"/>
        <w:kinsoku/>
        <w:wordWrap/>
        <w:overflowPunct/>
        <w:topLinePunct w:val="0"/>
        <w:autoSpaceDE/>
        <w:autoSpaceDN/>
        <w:bidi w:val="0"/>
        <w:adjustRightInd w:val="0"/>
        <w:snapToGrid/>
        <w:spacing w:before="0" w:beforeAutospacing="0" w:after="0" w:afterAutospacing="0" w:line="620" w:lineRule="exact"/>
        <w:ind w:firstLine="640"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四、主要内容。</w:t>
      </w:r>
      <w:r>
        <w:rPr>
          <w:rFonts w:hint="eastAsia" w:ascii="仿宋_GB2312" w:hAnsi="仿宋_GB2312" w:eastAsia="仿宋_GB2312" w:cs="仿宋_GB2312"/>
          <w:b w:val="0"/>
          <w:bCs w:val="0"/>
          <w:sz w:val="32"/>
          <w:szCs w:val="32"/>
          <w:lang w:val="en-US" w:eastAsia="zh-CN"/>
        </w:rPr>
        <w:t>总体分为三大部分。</w:t>
      </w:r>
      <w:r>
        <w:rPr>
          <w:rFonts w:hint="eastAsia" w:ascii="仿宋_GB2312" w:hAnsi="仿宋_GB2312" w:eastAsia="仿宋_GB2312" w:cs="仿宋_GB2312"/>
          <w:b/>
          <w:bCs/>
          <w:sz w:val="32"/>
          <w:szCs w:val="32"/>
          <w:lang w:val="en-US" w:eastAsia="zh-CN"/>
        </w:rPr>
        <w:t>第一部分为总体要求</w:t>
      </w:r>
      <w:r>
        <w:rPr>
          <w:rFonts w:hint="eastAsia" w:ascii="仿宋_GB2312" w:hAnsi="仿宋_GB2312" w:eastAsia="仿宋_GB2312" w:cs="仿宋_GB2312"/>
          <w:b w:val="0"/>
          <w:bCs w:val="0"/>
          <w:sz w:val="32"/>
          <w:szCs w:val="32"/>
          <w:lang w:val="en-US" w:eastAsia="zh-CN"/>
        </w:rPr>
        <w:t>，提出工业领域设备更新的指导思想和基本原则，并明确到2025年和2027年的主要目标。</w:t>
      </w:r>
      <w:r>
        <w:rPr>
          <w:rFonts w:hint="eastAsia" w:ascii="仿宋_GB2312" w:hAnsi="仿宋_GB2312" w:eastAsia="仿宋_GB2312" w:cs="仿宋_GB2312"/>
          <w:b/>
          <w:bCs/>
          <w:sz w:val="32"/>
          <w:szCs w:val="32"/>
          <w:lang w:val="en-US" w:eastAsia="zh-CN"/>
        </w:rPr>
        <w:t>第二部分为重点任务</w:t>
      </w:r>
      <w:r>
        <w:rPr>
          <w:rFonts w:hint="eastAsia" w:ascii="仿宋_GB2312" w:hAnsi="仿宋_GB2312" w:eastAsia="仿宋_GB2312" w:cs="仿宋_GB2312"/>
          <w:b w:val="0"/>
          <w:bCs w:val="0"/>
          <w:sz w:val="32"/>
          <w:szCs w:val="32"/>
          <w:lang w:val="en-US" w:eastAsia="zh-CN"/>
        </w:rPr>
        <w:t>，谋划实施高端化跃升、智能化改造、绿色化转型、本质安全提升、优质设备供给5个行动，谋划提出15项重点任务，作为推动工业领域设备更新的主要抓手。</w:t>
      </w:r>
      <w:r>
        <w:rPr>
          <w:rFonts w:hint="eastAsia" w:ascii="仿宋_GB2312" w:hAnsi="仿宋_GB2312" w:eastAsia="仿宋_GB2312" w:cs="仿宋_GB2312"/>
          <w:b/>
          <w:bCs/>
          <w:sz w:val="32"/>
          <w:szCs w:val="32"/>
          <w:lang w:val="en-US" w:eastAsia="zh-CN"/>
        </w:rPr>
        <w:t>第三部分为保障措施</w:t>
      </w:r>
      <w:r>
        <w:rPr>
          <w:rFonts w:hint="eastAsia" w:ascii="仿宋_GB2312" w:hAnsi="仿宋_GB2312" w:eastAsia="仿宋_GB2312" w:cs="仿宋_GB2312"/>
          <w:b w:val="0"/>
          <w:bCs w:val="0"/>
          <w:sz w:val="32"/>
          <w:szCs w:val="32"/>
          <w:lang w:val="en-US" w:eastAsia="zh-CN"/>
        </w:rPr>
        <w:t>，主要从完善协调推进机制、强化行业标准引领、加大财税支持力度、强化金融支撑服务、增强资源要素保障等5个方面，提出了保障措施。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07180A"/>
    <w:rsid w:val="750F6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Times New Roman"/>
      <w:b/>
      <w:kern w:val="0"/>
      <w:sz w:val="27"/>
      <w:szCs w:val="27"/>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widowControl w:val="0"/>
      <w:spacing w:after="0" w:line="600" w:lineRule="exact"/>
      <w:ind w:firstLine="720" w:firstLineChars="200"/>
      <w:jc w:val="both"/>
    </w:pPr>
    <w:rPr>
      <w:rFonts w:ascii="仿宋_GB2312" w:hAnsi="仿宋_GB2312" w:eastAsia="宋体" w:cs="Times New Roman"/>
      <w:kern w:val="2"/>
      <w:sz w:val="21"/>
      <w:szCs w:val="24"/>
      <w:lang w:val="en-US" w:eastAsia="zh-CN" w:bidi="ar-SA"/>
    </w:rPr>
  </w:style>
  <w:style w:type="paragraph" w:styleId="4">
    <w:name w:val="Title"/>
    <w:basedOn w:val="1"/>
    <w:next w:val="1"/>
    <w:qFormat/>
    <w:uiPriority w:val="10"/>
    <w:pPr>
      <w:widowControl w:val="0"/>
      <w:spacing w:before="240" w:after="60" w:line="600" w:lineRule="exact"/>
      <w:ind w:firstLine="200" w:firstLineChars="200"/>
      <w:jc w:val="center"/>
      <w:outlineLvl w:val="0"/>
    </w:pPr>
    <w:rPr>
      <w:rFonts w:ascii="Calibri Light" w:hAnsi="Calibri Light" w:eastAsia="宋体" w:cs="Times New Roman"/>
      <w:b/>
      <w:bCs/>
      <w:kern w:val="2"/>
      <w:sz w:val="32"/>
      <w:szCs w:val="32"/>
      <w:lang w:val="en-US" w:eastAsia="zh-CN" w:bidi="ar-SA"/>
    </w:rPr>
  </w:style>
  <w:style w:type="paragraph" w:styleId="5">
    <w:name w:val="Body Text Indent"/>
    <w:next w:val="6"/>
    <w:uiPriority w:val="0"/>
    <w:pPr>
      <w:widowControl w:val="0"/>
      <w:spacing w:after="0" w:line="600" w:lineRule="exact"/>
      <w:ind w:left="0" w:leftChars="0"/>
      <w:jc w:val="both"/>
    </w:pPr>
    <w:rPr>
      <w:rFonts w:ascii="Times New Roman" w:hAnsi="Times New Roman" w:eastAsia="宋体" w:cs="Times New Roman"/>
      <w:kern w:val="2"/>
      <w:sz w:val="21"/>
      <w:szCs w:val="24"/>
      <w:lang w:val="en-US" w:eastAsia="zh-CN" w:bidi="ar-SA"/>
    </w:rPr>
  </w:style>
  <w:style w:type="paragraph" w:customStyle="1" w:styleId="6">
    <w:name w:val="样式 正文文本缩进 + 左侧:  2 字符"/>
    <w:qFormat/>
    <w:uiPriority w:val="0"/>
    <w:pPr>
      <w:widowControl w:val="0"/>
      <w:suppressAutoHyphens/>
      <w:spacing w:after="0" w:line="360" w:lineRule="auto"/>
      <w:ind w:firstLine="200"/>
      <w:jc w:val="both"/>
    </w:pPr>
    <w:rPr>
      <w:rFonts w:ascii="宋体" w:hAnsi="宋体" w:eastAsia="宋体" w:cs="宋体"/>
      <w:kern w:val="1"/>
      <w:sz w:val="21"/>
      <w:szCs w:val="20"/>
      <w:lang w:val="en-US" w:eastAsia="zh-CN" w:bidi="ar-SA"/>
    </w:rPr>
  </w:style>
  <w:style w:type="paragraph" w:styleId="7">
    <w:name w:val="Body Text First Indent 2"/>
    <w:next w:val="1"/>
    <w:qFormat/>
    <w:uiPriority w:val="0"/>
    <w:pPr>
      <w:widowControl w:val="0"/>
      <w:spacing w:after="0" w:line="600" w:lineRule="exact"/>
      <w:ind w:left="0" w:leftChars="0" w:firstLine="42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2024-04-15T03:13:00Z</dcterms:created>
  <dc:creator>Administrator</dc:creator>
  <cp:lastModifiedBy>NTKO</cp:lastModifiedBy>
  <dcterms:modified xsi:type="dcterms:W3CDTF">2024-04-15T03:38:56Z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