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DAA5B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textAlignment w:val="auto"/>
        <w:rPr>
          <w:rFonts w:hint="default" w:ascii="Times New Roman" w:hAnsi="Times New Roman" w:eastAsia="方正黑体_GBK" w:cs="Times New Roman"/>
          <w:b w:val="0"/>
          <w:bCs w:val="0"/>
          <w:color w:val="auto"/>
          <w:sz w:val="32"/>
          <w:szCs w:val="32"/>
          <w:lang w:eastAsia="zh-CN"/>
        </w:rPr>
      </w:pPr>
      <w:r>
        <w:rPr>
          <w:rFonts w:hint="default" w:ascii="Times New Roman" w:hAnsi="Times New Roman" w:eastAsia="仿宋_GB2312" w:cs="Times New Roman"/>
          <w:b/>
          <w:bCs/>
          <w:color w:val="auto"/>
          <w:sz w:val="32"/>
          <w:szCs w:val="32"/>
          <w:lang w:eastAsia="zh-CN"/>
        </w:rPr>
        <w:t>附件</w:t>
      </w:r>
      <w:r>
        <w:rPr>
          <w:rFonts w:hint="default" w:ascii="Times New Roman" w:hAnsi="Times New Roman" w:eastAsia="仿宋_GB2312" w:cs="Times New Roman"/>
          <w:b/>
          <w:bCs/>
          <w:color w:val="auto"/>
          <w:sz w:val="32"/>
          <w:szCs w:val="32"/>
          <w:lang w:val="en-US" w:eastAsia="zh-CN"/>
        </w:rPr>
        <w:t>1</w:t>
      </w:r>
      <w:r>
        <w:rPr>
          <w:rFonts w:hint="default" w:ascii="Times New Roman" w:hAnsi="Times New Roman" w:eastAsia="仿宋_GB2312" w:cs="Times New Roman"/>
          <w:b/>
          <w:bCs/>
          <w:color w:val="auto"/>
          <w:sz w:val="32"/>
          <w:szCs w:val="32"/>
          <w:lang w:eastAsia="zh-CN"/>
        </w:rPr>
        <w:t>：</w:t>
      </w:r>
    </w:p>
    <w:p w14:paraId="77F07AB2">
      <w:pPr>
        <w:pStyle w:val="10"/>
        <w:keepNext w:val="0"/>
        <w:keepLines w:val="0"/>
        <w:pageBreakBefore w:val="0"/>
        <w:widowControl w:val="0"/>
        <w:kinsoku/>
        <w:wordWrap/>
        <w:overflowPunct/>
        <w:topLinePunct w:val="0"/>
        <w:autoSpaceDE w:val="0"/>
        <w:autoSpaceDN w:val="0"/>
        <w:bidi w:val="0"/>
        <w:adjustRightInd w:val="0"/>
        <w:snapToGrid/>
        <w:spacing w:before="157" w:beforeLines="50" w:after="157" w:afterLines="50" w:line="560" w:lineRule="exact"/>
        <w:jc w:val="center"/>
        <w:textAlignment w:val="auto"/>
        <w:rPr>
          <w:rFonts w:hint="default" w:ascii="Times New Roman" w:hAnsi="Times New Roman" w:eastAsia="方正小标宋简体" w:cs="Times New Roman"/>
          <w:b w:val="0"/>
          <w:bCs/>
          <w:color w:val="auto"/>
          <w:sz w:val="44"/>
          <w:szCs w:val="44"/>
          <w:lang w:val="en-US" w:eastAsia="zh-CN"/>
        </w:rPr>
      </w:pPr>
      <w:r>
        <w:rPr>
          <w:rFonts w:hint="default" w:ascii="Times New Roman" w:hAnsi="Times New Roman" w:eastAsia="方正小标宋简体" w:cs="Times New Roman"/>
          <w:b w:val="0"/>
          <w:bCs/>
          <w:color w:val="auto"/>
          <w:sz w:val="44"/>
          <w:szCs w:val="44"/>
          <w:shd w:val="clear" w:color="auto" w:fill="FDFDFE"/>
          <w:lang w:val="en-US" w:eastAsia="zh-CN"/>
        </w:rPr>
        <w:t>山东新华制药股份有限公司</w:t>
      </w:r>
      <w:r>
        <w:rPr>
          <w:rFonts w:hint="eastAsia" w:ascii="Times New Roman" w:hAnsi="Times New Roman" w:eastAsia="方正小标宋简体" w:cs="Times New Roman"/>
          <w:b w:val="0"/>
          <w:bCs/>
          <w:color w:val="auto"/>
          <w:sz w:val="44"/>
          <w:szCs w:val="44"/>
          <w:shd w:val="clear" w:color="auto" w:fill="FDFDFE"/>
          <w:lang w:val="en-US" w:eastAsia="zh-CN"/>
        </w:rPr>
        <w:t>合</w:t>
      </w:r>
      <w:r>
        <w:rPr>
          <w:rFonts w:hint="default" w:ascii="Times New Roman" w:hAnsi="Times New Roman" w:eastAsia="方正小标宋简体" w:cs="Times New Roman"/>
          <w:b w:val="0"/>
          <w:bCs/>
          <w:color w:val="auto"/>
          <w:sz w:val="44"/>
          <w:szCs w:val="44"/>
          <w:shd w:val="clear" w:color="auto" w:fill="FDFDFE"/>
          <w:lang w:val="en-US" w:eastAsia="zh-CN"/>
        </w:rPr>
        <w:t>作需求</w:t>
      </w:r>
    </w:p>
    <w:p w14:paraId="4E854348">
      <w:pPr>
        <w:keepNext w:val="0"/>
        <w:keepLines w:val="0"/>
        <w:pageBreakBefore w:val="0"/>
        <w:kinsoku/>
        <w:wordWrap/>
        <w:overflowPunct/>
        <w:topLinePunct w:val="0"/>
        <w:autoSpaceDE/>
        <w:autoSpaceDN/>
        <w:bidi w:val="0"/>
        <w:spacing w:beforeAutospacing="0" w:afterAutospacing="0" w:line="240" w:lineRule="auto"/>
        <w:ind w:left="0" w:leftChars="0"/>
        <w:rPr>
          <w:rFonts w:hint="default" w:ascii="Times New Roman" w:hAnsi="Times New Roman" w:eastAsia="仿宋_GB2312" w:cs="Times New Roman"/>
          <w:b/>
          <w:bCs/>
          <w:color w:val="auto"/>
          <w:sz w:val="21"/>
          <w:szCs w:val="21"/>
          <w:lang w:eastAsia="zh-CN"/>
        </w:rPr>
      </w:pPr>
    </w:p>
    <w:p w14:paraId="1F55E1A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bookmarkStart w:id="0" w:name="OLE_LINK2"/>
      <w:r>
        <w:rPr>
          <w:rFonts w:hint="default" w:ascii="Times New Roman" w:hAnsi="Times New Roman" w:eastAsia="仿宋_GB2312" w:cs="Times New Roman"/>
          <w:b w:val="0"/>
          <w:bCs w:val="0"/>
          <w:color w:val="auto"/>
          <w:sz w:val="32"/>
          <w:szCs w:val="32"/>
          <w:lang w:val="en-US" w:eastAsia="zh-CN"/>
        </w:rPr>
        <w:t>山东新华制药是新中国第一家化学合成制药企业，全球重要的解热镇痛药生产和出口基地，2024年位列中国医药工业百强第37名，获国家高新技术企业等称号。</w:t>
      </w:r>
    </w:p>
    <w:p w14:paraId="3409BA1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公司拥有化学原料药、医药制剂、医药中间体、电商业务四大板块，5个产业园区</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13家子公司。原料药年产能5万吨，医药中间体50万吨，固体制剂320亿片</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粒</w:t>
      </w:r>
      <w:r>
        <w:rPr>
          <w:rFonts w:hint="eastAsia" w:ascii="Times New Roman" w:hAnsi="Times New Roman" w:eastAsia="仿宋_GB2312" w:cs="Times New Roman"/>
          <w:b w:val="0"/>
          <w:bCs w:val="0"/>
          <w:color w:val="auto"/>
          <w:sz w:val="32"/>
          <w:szCs w:val="32"/>
          <w:lang w:val="en-US" w:eastAsia="zh-CN"/>
        </w:rPr>
        <w:t>）</w:t>
      </w:r>
      <w:r>
        <w:rPr>
          <w:rFonts w:hint="default" w:ascii="Times New Roman" w:hAnsi="Times New Roman" w:eastAsia="仿宋_GB2312" w:cs="Times New Roman"/>
          <w:b w:val="0"/>
          <w:bCs w:val="0"/>
          <w:color w:val="auto"/>
          <w:sz w:val="32"/>
          <w:szCs w:val="32"/>
          <w:lang w:val="en-US" w:eastAsia="zh-CN"/>
        </w:rPr>
        <w:t>，注射剂15亿支，与罗氏、拜耳等200多家跨国企业长期合作。建有国家级企业技术中心等多个研发平台，拥有1类新药文号8个、2类21个，授权专利266项，FDA注册号22个。2024年获药品批件36个、国际注册文号20个，申请专利109件，均创历史新高。</w:t>
      </w:r>
      <w:r>
        <w:rPr>
          <w:rFonts w:hint="eastAsia" w:ascii="Times New Roman" w:hAnsi="Times New Roman" w:eastAsia="仿宋_GB2312" w:cs="Times New Roman"/>
          <w:b w:val="0"/>
          <w:bCs w:val="0"/>
          <w:color w:val="auto"/>
          <w:sz w:val="32"/>
          <w:szCs w:val="32"/>
          <w:lang w:val="en-US" w:eastAsia="zh-CN"/>
        </w:rPr>
        <w:t>是</w:t>
      </w:r>
      <w:r>
        <w:rPr>
          <w:rFonts w:hint="default" w:ascii="Times New Roman" w:hAnsi="Times New Roman" w:eastAsia="仿宋_GB2312" w:cs="Times New Roman"/>
          <w:b w:val="0"/>
          <w:bCs w:val="0"/>
          <w:color w:val="auto"/>
          <w:sz w:val="32"/>
          <w:szCs w:val="32"/>
          <w:lang w:val="en-US" w:eastAsia="zh-CN"/>
        </w:rPr>
        <w:t>全球最大的布洛芬生产企业之一，阿司匹林出口规模国内首位，全球市场地位重要。​</w:t>
      </w:r>
    </w:p>
    <w:p w14:paraId="131AF54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2024年末，公司主营业务收入84.66亿元，利润总额5.34亿元，资产负债率42.15%。现有员工7296人，其中博士21人、硕士501人，专业技术人员占比16.79%，高技能人才占比28.59%。</w:t>
      </w:r>
    </w:p>
    <w:bookmarkEnd w:id="0"/>
    <w:p w14:paraId="1C610C93">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Chars="200" w:right="0" w:rightChars="0"/>
        <w:jc w:val="both"/>
        <w:textAlignment w:val="auto"/>
        <w:outlineLvl w:val="9"/>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研发及技术转让合作需求</w:t>
      </w:r>
    </w:p>
    <w:p w14:paraId="7B9C8459">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（一）研发合作需求</w:t>
      </w:r>
    </w:p>
    <w:p w14:paraId="5172E9E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1.化学创新药物技术受让</w:t>
      </w:r>
    </w:p>
    <w:p w14:paraId="481B1B9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highlight w:val="none"/>
          <w:lang w:val="en-US" w:eastAsia="zh-CN"/>
        </w:rPr>
        <w:t>公司对化药已取得临床批件或已完成</w:t>
      </w:r>
      <w:r>
        <w:rPr>
          <w:rFonts w:hint="default" w:ascii="Times New Roman" w:hAnsi="Times New Roman" w:eastAsia="仿宋_GB2312" w:cs="Times New Roman"/>
          <w:b w:val="0"/>
          <w:bCs w:val="0"/>
          <w:color w:val="auto"/>
          <w:sz w:val="32"/>
          <w:szCs w:val="32"/>
          <w:highlight w:val="none"/>
          <w:lang w:val="en-US" w:eastAsia="zh-CN"/>
        </w:rPr>
        <w:t>I</w:t>
      </w:r>
      <w:r>
        <w:rPr>
          <w:rFonts w:hint="eastAsia" w:ascii="Times New Roman" w:hAnsi="Times New Roman" w:eastAsia="仿宋_GB2312" w:cs="Times New Roman"/>
          <w:b w:val="0"/>
          <w:bCs w:val="0"/>
          <w:color w:val="auto"/>
          <w:sz w:val="32"/>
          <w:szCs w:val="32"/>
          <w:highlight w:val="none"/>
          <w:lang w:val="en-US" w:eastAsia="zh-CN"/>
        </w:rPr>
        <w:t>/II/III期临床试验拟申报生产注册的创新药（含改</w:t>
      </w:r>
      <w:r>
        <w:rPr>
          <w:rFonts w:hint="eastAsia" w:ascii="Times New Roman" w:hAnsi="Times New Roman" w:eastAsia="仿宋_GB2312" w:cs="Times New Roman"/>
          <w:b w:val="0"/>
          <w:bCs w:val="0"/>
          <w:color w:val="auto"/>
          <w:sz w:val="32"/>
          <w:szCs w:val="32"/>
          <w:lang w:val="en-US" w:eastAsia="zh-CN"/>
        </w:rPr>
        <w:t>良新药）有迫切的需求。</w:t>
      </w:r>
    </w:p>
    <w:p w14:paraId="1A48A2F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欢迎各科研机构、高校、企业及相关技术团队，根据上述技术需求，以项目合作、技术转让、合作开发等多种灵活方式与我公司开展合作。</w:t>
      </w:r>
    </w:p>
    <w:p w14:paraId="1D56A30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2.已有文号产品技术受让</w:t>
      </w:r>
    </w:p>
    <w:p w14:paraId="022B79A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我公司重点寻求心脑血管、消化系统、内分泌及抗代谢、抗感染、疼痛控制、高分子类、甾体激素类等领域视同过评且同品种文号在</w:t>
      </w:r>
      <w:r>
        <w:rPr>
          <w:rFonts w:hint="default" w:ascii="Times New Roman" w:hAnsi="Times New Roman" w:eastAsia="仿宋_GB2312" w:cs="Times New Roman"/>
          <w:b w:val="0"/>
          <w:bCs w:val="0"/>
          <w:color w:val="auto"/>
          <w:sz w:val="32"/>
          <w:szCs w:val="32"/>
          <w:lang w:val="en-US" w:eastAsia="zh-CN"/>
        </w:rPr>
        <w:t>5</w:t>
      </w:r>
      <w:r>
        <w:rPr>
          <w:rFonts w:hint="eastAsia" w:ascii="Times New Roman" w:hAnsi="Times New Roman" w:eastAsia="仿宋_GB2312" w:cs="Times New Roman"/>
          <w:b w:val="0"/>
          <w:bCs w:val="0"/>
          <w:color w:val="auto"/>
          <w:sz w:val="32"/>
          <w:szCs w:val="32"/>
          <w:lang w:val="en-US" w:eastAsia="zh-CN"/>
        </w:rPr>
        <w:t>个以内的化学制剂药品文号，期待符合上述条件的化学制剂药品文号转让合作，加速产品的商业化进程，共同推动新产品的上市进程，</w:t>
      </w:r>
      <w:r>
        <w:rPr>
          <w:rFonts w:hint="default" w:ascii="Times New Roman" w:hAnsi="Times New Roman" w:eastAsia="仿宋_GB2312" w:cs="Times New Roman"/>
          <w:b w:val="0"/>
          <w:bCs w:val="0"/>
          <w:color w:val="auto"/>
          <w:sz w:val="32"/>
          <w:szCs w:val="32"/>
          <w:lang w:val="en-US" w:eastAsia="zh-CN"/>
        </w:rPr>
        <w:t>为患者用药和医药行业的发展贡献力量，实现互利</w:t>
      </w:r>
      <w:r>
        <w:rPr>
          <w:rFonts w:hint="eastAsia" w:ascii="Times New Roman" w:hAnsi="Times New Roman" w:eastAsia="仿宋_GB2312" w:cs="Times New Roman"/>
          <w:b w:val="0"/>
          <w:bCs w:val="0"/>
          <w:color w:val="auto"/>
          <w:sz w:val="32"/>
          <w:szCs w:val="32"/>
          <w:lang w:val="en-US" w:eastAsia="zh-CN"/>
        </w:rPr>
        <w:t>共赢。</w:t>
      </w:r>
    </w:p>
    <w:p w14:paraId="21A7D0C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3.原料药合作</w:t>
      </w:r>
    </w:p>
    <w:p w14:paraId="4C3957C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为加快项目研发及产业化上市进度，积极利用外部研发资源，需求具有项目成熟开发经验和强大研发能力的合作方进行项目合作，由合作方负责项目生产验证前的研发工作或者质量研究工作，配合完成项目的申报注册和获批上市，完成商业化。</w:t>
      </w:r>
    </w:p>
    <w:p w14:paraId="192D1C4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4.中间体合作</w:t>
      </w:r>
    </w:p>
    <w:p w14:paraId="35E6DCD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highlight w:val="none"/>
          <w:lang w:val="en-US" w:eastAsia="zh-CN"/>
        </w:rPr>
      </w:pPr>
      <w:r>
        <w:rPr>
          <w:rFonts w:hint="eastAsia" w:ascii="Times New Roman" w:hAnsi="Times New Roman" w:eastAsia="仿宋_GB2312" w:cs="Times New Roman"/>
          <w:b w:val="0"/>
          <w:bCs w:val="0"/>
          <w:color w:val="auto"/>
          <w:sz w:val="32"/>
          <w:szCs w:val="32"/>
          <w:highlight w:val="none"/>
          <w:lang w:val="en-US" w:eastAsia="zh-CN"/>
        </w:rPr>
        <w:t>为解决部分中间体市场供应风险，延长产品产业链，降低生产成本，需求可以长期合作的化工中间体企业，具备研发能力，组成产业链共同体，解决产品上下游问题。如甾体激素类中间体9-OH-4-AD、酯化物等；以双乙烯酮（DK）为原料的化工产品等。</w:t>
      </w:r>
    </w:p>
    <w:p w14:paraId="529616E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5.已有保健品文号转让</w:t>
      </w:r>
    </w:p>
    <w:p w14:paraId="00381B9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我公司全资子公司新达制药已取得中康牌越橘叶黄素牛磺酸片、中康牌苦瓜玉竹铬酵母片、贝康牌辅酶Q10维生素E维生素C颗粒（香橙味）三个保健品文号。为实现市场价值最大化，这三个保健品出售保健品文号，欢迎各企业或销售队伍与新达制药洽谈合作。</w:t>
      </w:r>
    </w:p>
    <w:p w14:paraId="63049B5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（二）技术合作开发需求</w:t>
      </w:r>
    </w:p>
    <w:p w14:paraId="7D08B94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1.泼尼松龙休止角难题</w:t>
      </w:r>
    </w:p>
    <w:p w14:paraId="304D3C4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泼尼松龙原料药粘度大、流动性不好，易导致制剂含量不均匀，因此客户添加了休止角检测项，要求休止角&lt;40°且粒度D90约20-75μm，建议从结晶工艺或粉碎工艺协助寻找影响该指标合格的方法。</w:t>
      </w:r>
    </w:p>
    <w:p w14:paraId="203B276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2.醋酸氢化可的松收率提升技术</w:t>
      </w:r>
    </w:p>
    <w:p w14:paraId="59CDCAA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以酯化物为起始原料，理论重量收率104.7%，生产上需深度挖掘收率提升的方法。</w:t>
      </w:r>
    </w:p>
    <w:p w14:paraId="2FE8890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3.水杨酸高效分离工艺开发</w:t>
      </w:r>
    </w:p>
    <w:p w14:paraId="4C3B8B2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目前回收水杨酸产品的水杨酸含量90%左右，主要杂质4-羟基间苯二甲酸含量占5-8%，需寻求高效的分离4-羟基间苯二甲酸的工艺。</w:t>
      </w:r>
    </w:p>
    <w:p w14:paraId="79E7B1C6">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4.硫酸钠脱色新工艺开发</w:t>
      </w:r>
    </w:p>
    <w:p w14:paraId="3D1EA7F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待处理废水中含有硫酸钠以及少量水杨酸、苯酚等，需研发新的硫酸钠回收工艺，以解决外观颜色深或延缓变色时长等。</w:t>
      </w:r>
    </w:p>
    <w:p w14:paraId="7162A5F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5.甲基多巴合成工艺优化</w:t>
      </w:r>
    </w:p>
    <w:p w14:paraId="06B217A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氨基丙腈的合成，反应产物是混旋体，需要拆分，目前工艺拆分后左旋体中还含有10%的右旋体，理想目标是右旋体含量不大于3%。</w:t>
      </w:r>
    </w:p>
    <w:p w14:paraId="6BEE134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6.双乙烯酮精馏工艺开发</w:t>
      </w:r>
    </w:p>
    <w:p w14:paraId="64B9CEB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如何解决在精馏过程中的聚合问题是双乙烯酮产品提质降本的关键点，欲寻求新的精馏工艺。</w:t>
      </w:r>
    </w:p>
    <w:p w14:paraId="15675E8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7.西酞普兰消旋化工艺技术</w:t>
      </w:r>
    </w:p>
    <w:p w14:paraId="2179A61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要求消旋化后R、S构型比例约为1:1，产品纯度≥95%，收率≥80%，满足公斤级及以上规模化生产。</w:t>
      </w:r>
    </w:p>
    <w:p w14:paraId="7289E73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8.布洛芬合成生产工艺优化</w:t>
      </w:r>
    </w:p>
    <w:p w14:paraId="6B69094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新戊二醇单耗偏高，欲寻求有效的工艺优化方法进一步降低生产成本；另外板式压滤机过滤粗品存在空板、堵塞、水洗短路等难题待解决。</w:t>
      </w:r>
    </w:p>
    <w:p w14:paraId="349049E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9.咖啡因特殊规格精制工艺开发</w:t>
      </w:r>
    </w:p>
    <w:p w14:paraId="13FBFA2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欲寻求新的精制工艺以解决特殊规格质量难题（有意向可深入沟通）。</w:t>
      </w:r>
    </w:p>
    <w:p w14:paraId="4601F9D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10.吡哌酸新工艺开发</w:t>
      </w:r>
    </w:p>
    <w:p w14:paraId="32F5C46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欲寻求高氨氮嘧啶酯母液的处理新工艺。</w:t>
      </w:r>
    </w:p>
    <w:p w14:paraId="46B490D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11.盐酸曲马多工艺优化</w:t>
      </w:r>
    </w:p>
    <w:p w14:paraId="4997D87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有待提高格氏反应转化率，以进一步降低成本。</w:t>
      </w:r>
    </w:p>
    <w:p w14:paraId="682105E0">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12.布洛芬缓释胶囊制剂工艺系统升级</w:t>
      </w:r>
    </w:p>
    <w:p w14:paraId="0DE3DA5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为进一步提升布洛芬缓释胶囊产品安全性、生产效率与质量稳定性，欲寻求具备制剂工艺、设备工程与自动化控制背景的科研团队，共同开展新工艺研发、中试放大及产线落地的全过程技术开发，实现布洛芬缓释胶囊生产过程的安全、高效、稳定与可控，进一步提升产品竞争力与企业技术壁垒。具体将围绕以下方向开展工艺优化：</w:t>
      </w:r>
    </w:p>
    <w:p w14:paraId="673DEDC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开发水溶性粘合剂体系，替代现有乙醇体系，从根本上消除燃爆风险；设计自动化上药与撒粉系统，实现喷液、加粉全程可控与无人化操作。</w:t>
      </w:r>
    </w:p>
    <w:p w14:paraId="7DCC20A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设备与流程再造：引入连续化制丸、干燥与筛分设备，缩短生产周期，提升产能。构建闭环粉尘控制与废气回收系统，强化生产环境安全。</w:t>
      </w:r>
    </w:p>
    <w:p w14:paraId="78F331E8">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质量控制与工艺标准化：建立关键工艺参数（CPP）与关键质量属性（CQA）的实时监控机制，确保产品质量一致性。通过智能化控制系统，实现批次间工艺的高度重现。</w:t>
      </w:r>
    </w:p>
    <w:p w14:paraId="08F2BF37">
      <w:pPr>
        <w:keepNext w:val="0"/>
        <w:keepLines w:val="0"/>
        <w:pageBreakBefore w:val="0"/>
        <w:widowControl w:val="0"/>
        <w:kinsoku/>
        <w:wordWrap/>
        <w:overflowPunct/>
        <w:topLinePunct w:val="0"/>
        <w:autoSpaceDE/>
        <w:autoSpaceDN/>
        <w:bidi w:val="0"/>
        <w:adjustRightInd/>
        <w:snapToGrid w:val="0"/>
        <w:spacing w:line="560" w:lineRule="exact"/>
        <w:ind w:firstLine="643"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bCs/>
          <w:sz w:val="32"/>
          <w:szCs w:val="32"/>
          <w:lang w:val="en-US" w:eastAsia="zh-CN"/>
        </w:rPr>
        <w:t>欢迎各科研机构、高校、企业及相关技术团队，根据上述技术需求，以项目合作、技术转让、合作开发等多种灵活方式与新华制药进一步开展深入合作。</w:t>
      </w:r>
    </w:p>
    <w:p w14:paraId="017DD533">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Chars="200" w:right="0" w:rightChars="0"/>
        <w:jc w:val="both"/>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产品市场合作需求</w:t>
      </w:r>
    </w:p>
    <w:p w14:paraId="76355D8C">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（一）寻找产品代理商</w:t>
      </w:r>
    </w:p>
    <w:p w14:paraId="5DD1960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 xml:space="preserve">1.碳酸司维拉姆片 </w:t>
      </w:r>
    </w:p>
    <w:p w14:paraId="76BD943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该产品用于控制正在接受透析治疗的慢性肾脏病（CKD）成人患者的高磷血症；以及用于控制血清磷≥1.78mmol/L但并未进行透析的慢性肾脏病成人患者的高磷血症。产品批准文号为国药准字H20233203。产品规格为0.8g ；包装有30片/瓶、90片/瓶两种规格；均为100瓶/箱。</w:t>
      </w:r>
    </w:p>
    <w:p w14:paraId="68A37C9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产品为国家集采第10批中标产品（2024.12.25公布中选结果，2025年04月开始执行，采购周期截至2027年12月31日）。</w:t>
      </w:r>
    </w:p>
    <w:p w14:paraId="1F206E7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2.二十碳五烯酸乙酯软胶囊</w:t>
      </w:r>
    </w:p>
    <w:p w14:paraId="40FA29C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 xml:space="preserve">该产品用于①在控制饮食的基础上，降低重度高甘油三酯血症（≥500mg/dL）成年患者的甘油三酯（TG）水平。②与他汀类药物联合使用，用于确诊心血管疾病或糖尿病伴≥2种其他心血管疾病危险因素，合并高甘油三酯血症（≥150 mg/dL）的成年患者，以降低心血管事件风险（心肌梗死、卒中、冠状动脉血运重建和不稳定型心绞痛需住院治疗）；尚未评估本品对重度高甘油三酯血症患者发生胰腺炎风险的影响。产品批准文号为国药准字H20254286。产品规格为1.0g ；包装有60粒/瓶、120粒/瓶两种规格；目前该产品为基药目录和医保目录外药物。 </w:t>
      </w:r>
    </w:p>
    <w:p w14:paraId="2F94F80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3.吡哌酸片</w:t>
      </w:r>
    </w:p>
    <w:p w14:paraId="79A4441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该产品用于敏感菌革兰阴性杆菌所致的尿路感染、细菌性肠道感染。吡哌酸片有两种规格：0.25g批准文号为国药准字 H37020643，包装规格为30片/瓶，50片/瓶，60片/瓶，100片/瓶，1×12片/板/盒，2×12片/板/盒，4×12片/板/盒；0.5g批准文号为国药准字 H37020642，包装规格为30片/瓶，100片/瓶，1×12片/板/盒，2×12片/板/盒，4×12片/板/盒。</w:t>
      </w:r>
    </w:p>
    <w:p w14:paraId="4755DB96">
      <w:pPr>
        <w:keepNext w:val="0"/>
        <w:keepLines w:val="0"/>
        <w:pageBreakBefore w:val="0"/>
        <w:widowControl w:val="0"/>
        <w:numPr>
          <w:ilvl w:val="0"/>
          <w:numId w:val="1"/>
        </w:numPr>
        <w:kinsoku/>
        <w:wordWrap/>
        <w:overflowPunct/>
        <w:topLinePunct w:val="0"/>
        <w:autoSpaceDE/>
        <w:autoSpaceDN/>
        <w:bidi w:val="0"/>
        <w:adjustRightInd/>
        <w:snapToGrid w:val="0"/>
        <w:spacing w:line="560" w:lineRule="exact"/>
        <w:ind w:leftChars="200" w:right="0" w:rightChars="0"/>
        <w:jc w:val="both"/>
        <w:textAlignment w:val="auto"/>
        <w:outlineLvl w:val="9"/>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受托生产需求</w:t>
      </w:r>
    </w:p>
    <w:p w14:paraId="5AD4B71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（一）原料药及医药中间体</w:t>
      </w:r>
    </w:p>
    <w:p w14:paraId="6097E68E">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我公司具有国际标准的化学原料药生产车间，可承接糖皮质激素产品、原料药及医药化工中间体的中试至商业化规模的受托生产业务。</w:t>
      </w:r>
    </w:p>
    <w:p w14:paraId="14E7F7B5">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1.激素系列生产线：</w:t>
      </w:r>
    </w:p>
    <w:p w14:paraId="3DE8184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建有三个D级洁净区，配套专用洁净空调机组和纯化水系统；</w:t>
      </w:r>
    </w:p>
    <w:p w14:paraId="1785907A">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反应釜（200—1000L容积反应釜2台套，1500-4000L容积反应釜20台套，7500L容积反应釜2台套，设备材质包括316L、钛、搪玻璃）；</w:t>
      </w:r>
    </w:p>
    <w:p w14:paraId="15104C3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溶剂精馏塔5套；</w:t>
      </w:r>
    </w:p>
    <w:p w14:paraId="7D8653D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发酵装置（700L*2、7000L*2、12000L*4）；</w:t>
      </w:r>
    </w:p>
    <w:p w14:paraId="43FE3F0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分离设备包括三合一过滤机（过滤直径1m-2.8m，共21台套）、板框过滤器（6台）、碟片离心机（1台）、管式离心机（1台）、水平叶片过滤机（1台）；</w:t>
      </w:r>
    </w:p>
    <w:p w14:paraId="521C8FC2">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气流粉碎机（5套），并配套ZT75-10FF型号空压机2台，用于微粉操作；</w:t>
      </w:r>
    </w:p>
    <w:p w14:paraId="1C53492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公用工程：-35℃冷水机组3套、反渗透水机组1套；蒸汽、冷水、循环水、盐水、压缩空气、氮气等。</w:t>
      </w:r>
    </w:p>
    <w:p w14:paraId="4B787917">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2.化学原料药、医药中间体生产线： </w:t>
      </w:r>
    </w:p>
    <w:p w14:paraId="7CAD7651">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非洁净区:各型号反应釜二十余台（100L、200L、500L、1000L、2000L，配备冷凝器、高位槽、受器等附件），分离设备有防腐离心机、不锈钢离心机、过滤洗涤干燥机、各型号过滤器，拥有双锥干燥器、真空干燥器、鼓风干燥器等设备用于前工序中间体的合成；</w:t>
      </w:r>
    </w:p>
    <w:p w14:paraId="6A35955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D级洁净区：反应釜2台（200L、1000L）、离心机、双锥干燥器、真空干燥箱、沸腾干燥器，用于成品的精干包。辅助设施齐全，配备真空泵、热水、盐水、循环水、蒸汽等动力，厂房同时配备纯化水、高纯氮气等，能够完成非无菌原料药从合成到精干包的全部工序。</w:t>
      </w:r>
    </w:p>
    <w:p w14:paraId="110CCDD7">
      <w:pPr>
        <w:keepNext w:val="0"/>
        <w:keepLines w:val="0"/>
        <w:pageBreakBefore w:val="0"/>
        <w:widowControl w:val="0"/>
        <w:kinsoku/>
        <w:wordWrap/>
        <w:overflowPunct/>
        <w:topLinePunct w:val="0"/>
        <w:autoSpaceDE/>
        <w:autoSpaceDN/>
        <w:bidi w:val="0"/>
        <w:adjustRightInd/>
        <w:snapToGrid w:val="0"/>
        <w:spacing w:line="560" w:lineRule="exact"/>
        <w:ind w:firstLine="640" w:firstLineChars="200"/>
        <w:textAlignment w:val="auto"/>
        <w:rPr>
          <w:rFonts w:hint="eastAsia" w:ascii="楷体" w:hAnsi="楷体" w:eastAsia="楷体" w:cs="楷体"/>
          <w:b w:val="0"/>
          <w:bCs w:val="0"/>
          <w:sz w:val="32"/>
          <w:szCs w:val="32"/>
          <w:lang w:val="en-US" w:eastAsia="zh-CN"/>
        </w:rPr>
      </w:pPr>
      <w:r>
        <w:rPr>
          <w:rFonts w:hint="eastAsia" w:ascii="楷体" w:hAnsi="楷体" w:eastAsia="楷体" w:cs="楷体"/>
          <w:b w:val="0"/>
          <w:bCs w:val="0"/>
          <w:sz w:val="32"/>
          <w:szCs w:val="32"/>
          <w:lang w:val="en-US" w:eastAsia="zh-CN"/>
        </w:rPr>
        <w:t>（二）制剂产品</w:t>
      </w:r>
    </w:p>
    <w:p w14:paraId="2A8A42AF">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公司具有国际化化药生产车间，合作与服务方式包括MAH产品落地、验证生产、委托生产加工、贴牌生产。</w:t>
      </w:r>
    </w:p>
    <w:p w14:paraId="6210ACF4">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可受托生产片剂（包括圆形片、异形片、双层片等多种片型）、硬胶囊剂、软胶囊剂、口服溶液、颗粒剂、干混悬剂、注射剂（最终灭菌、非最终灭菌）等多种剂型产品。</w:t>
      </w:r>
    </w:p>
    <w:p w14:paraId="610758DB">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1.片剂生产线可生产圆形片、异形片、双层片等多种片型，可生产塑料瓶包装、铝塑包装、双铝包装等多种包装，可接受委托业务年产能40亿片，包括全资子公司新达制药具备头孢类、青霉素类、激素类生产专线。</w:t>
      </w:r>
    </w:p>
    <w:p w14:paraId="2E1287ED">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default"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2.非最终灭菌小容量注射剂生产线，可生产规格1-20ml玻璃安瓿，可接受委托业务年产能2亿支。最终灭菌小容量注射剂生产线，可生产规格1-20ml玻璃安瓿和10ml/20ml塑料安瓿，玻璃安瓿可接受委托业务年产能2亿支，塑料安瓿可接受委托业务年产能1000万支。</w:t>
      </w:r>
    </w:p>
    <w:p w14:paraId="2032CE8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3.口服液生产线可生产条袋装口服液10-20g、塑瓶装口服液30-500ml，条带口服液可接受委托业务年产能5000万袋，塑瓶装口服液可接受委托业务年产能1000万瓶。</w:t>
      </w:r>
    </w:p>
    <w:p w14:paraId="23995CA3">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outlineLvl w:val="9"/>
        <w:rPr>
          <w:rFonts w:hint="eastAsia" w:ascii="Times New Roman" w:hAnsi="Times New Roman" w:eastAsia="仿宋_GB2312" w:cs="Times New Roman"/>
          <w:b w:val="0"/>
          <w:bCs w:val="0"/>
          <w:color w:val="auto"/>
          <w:sz w:val="32"/>
          <w:szCs w:val="32"/>
          <w:lang w:val="en-US" w:eastAsia="zh-CN"/>
        </w:rPr>
      </w:pPr>
      <w:r>
        <w:rPr>
          <w:rFonts w:hint="eastAsia" w:ascii="Times New Roman" w:hAnsi="Times New Roman" w:eastAsia="仿宋_GB2312" w:cs="Times New Roman"/>
          <w:b w:val="0"/>
          <w:bCs w:val="0"/>
          <w:color w:val="auto"/>
          <w:sz w:val="32"/>
          <w:szCs w:val="32"/>
          <w:lang w:val="en-US" w:eastAsia="zh-CN"/>
        </w:rPr>
        <w:t>4.公司具备专业的保健食品生产线，可生产片剂和软胶囊，其中片剂可接受委托业务年产能1亿片，鱼油类软胶囊可接受委托业务年产能5000万粒。</w:t>
      </w:r>
    </w:p>
    <w:p w14:paraId="113D2C7B">
      <w:pPr>
        <w:spacing w:beforeLines="0" w:afterLines="0"/>
        <w:ind w:firstLine="643" w:firstLineChars="200"/>
        <w:jc w:val="left"/>
        <w:rPr>
          <w:rFonts w:hint="default"/>
          <w:lang w:val="en-US" w:eastAsia="zh-CN"/>
        </w:rPr>
      </w:pPr>
      <w:r>
        <w:rPr>
          <w:rFonts w:hint="eastAsia" w:ascii="FangSong_GB2312" w:hAnsi="FangSong_GB2312" w:eastAsia="FangSong_GB2312"/>
          <w:b/>
          <w:bCs/>
          <w:sz w:val="32"/>
          <w:lang w:val="en-US" w:eastAsia="zh-CN"/>
        </w:rPr>
        <w:t>公司期望</w:t>
      </w:r>
      <w:r>
        <w:rPr>
          <w:rFonts w:hint="eastAsia" w:ascii="FangSong_GB2312" w:hAnsi="FangSong_GB2312" w:eastAsia="FangSong_GB2312"/>
          <w:b/>
          <w:bCs/>
          <w:sz w:val="32"/>
        </w:rPr>
        <w:t>具有</w:t>
      </w:r>
      <w:r>
        <w:rPr>
          <w:rFonts w:hint="eastAsia" w:ascii="FangSong_GB2312" w:hAnsi="FangSong_GB2312" w:eastAsia="FangSong_GB2312"/>
          <w:b/>
          <w:bCs/>
          <w:sz w:val="32"/>
          <w:lang w:val="en-US" w:eastAsia="zh-CN"/>
        </w:rPr>
        <w:t>市场</w:t>
      </w:r>
      <w:r>
        <w:rPr>
          <w:rFonts w:hint="eastAsia" w:ascii="FangSong_GB2312" w:hAnsi="FangSong_GB2312" w:eastAsia="FangSong_GB2312"/>
          <w:b/>
          <w:bCs/>
          <w:sz w:val="32"/>
        </w:rPr>
        <w:t>潜力的新产品来充实</w:t>
      </w:r>
      <w:r>
        <w:rPr>
          <w:rFonts w:hint="eastAsia" w:ascii="FangSong_GB2312" w:hAnsi="FangSong_GB2312" w:eastAsia="FangSong_GB2312"/>
          <w:b/>
          <w:bCs/>
          <w:sz w:val="32"/>
          <w:lang w:val="en-US" w:eastAsia="zh-CN"/>
        </w:rPr>
        <w:t>生产系统</w:t>
      </w:r>
      <w:r>
        <w:rPr>
          <w:rFonts w:hint="eastAsia" w:ascii="FangSong_GB2312" w:hAnsi="FangSong_GB2312" w:eastAsia="FangSong_GB2312"/>
          <w:b/>
          <w:bCs/>
          <w:sz w:val="32"/>
        </w:rPr>
        <w:t>，</w:t>
      </w:r>
      <w:r>
        <w:rPr>
          <w:rFonts w:hint="eastAsia" w:ascii="FangSong_GB2312" w:hAnsi="FangSong_GB2312" w:eastAsia="FangSong_GB2312"/>
          <w:b/>
          <w:bCs/>
          <w:sz w:val="32"/>
          <w:lang w:val="en-US" w:eastAsia="zh-CN"/>
        </w:rPr>
        <w:t>以</w:t>
      </w:r>
      <w:r>
        <w:rPr>
          <w:rFonts w:hint="eastAsia" w:ascii="FangSong_GB2312" w:hAnsi="FangSong_GB2312" w:eastAsia="FangSong_GB2312"/>
          <w:b/>
          <w:bCs/>
          <w:sz w:val="32"/>
        </w:rPr>
        <w:t>提升</w:t>
      </w:r>
      <w:r>
        <w:rPr>
          <w:rFonts w:hint="eastAsia" w:ascii="FangSong_GB2312" w:hAnsi="FangSong_GB2312" w:eastAsia="FangSong_GB2312"/>
          <w:b/>
          <w:bCs/>
          <w:sz w:val="32"/>
          <w:lang w:val="en-US" w:eastAsia="zh-CN"/>
        </w:rPr>
        <w:t>新华</w:t>
      </w:r>
      <w:r>
        <w:rPr>
          <w:rFonts w:hint="eastAsia" w:ascii="FangSong_GB2312" w:hAnsi="FangSong_GB2312" w:eastAsia="FangSong_GB2312"/>
          <w:b/>
          <w:bCs/>
          <w:sz w:val="32"/>
        </w:rPr>
        <w:t>在医药领域的竞争力，更好地服务广大患者。</w:t>
      </w:r>
    </w:p>
    <w:p w14:paraId="0C3E3EED">
      <w:pPr>
        <w:rPr>
          <w:rFonts w:hint="default"/>
          <w:lang w:eastAsia="zh-CN"/>
        </w:rPr>
        <w:sectPr>
          <w:footerReference r:id="rId3" w:type="default"/>
          <w:pgSz w:w="11906" w:h="16838"/>
          <w:pgMar w:top="1440" w:right="1800" w:bottom="1440" w:left="1800" w:header="851" w:footer="992" w:gutter="0"/>
          <w:pgNumType w:fmt="numberInDash"/>
          <w:cols w:space="720" w:num="1"/>
          <w:docGrid w:type="lines" w:linePitch="312" w:charSpace="0"/>
        </w:sectPr>
      </w:pPr>
    </w:p>
    <w:p w14:paraId="289E8529">
      <w:pPr>
        <w:keepNext w:val="0"/>
        <w:keepLines w:val="0"/>
        <w:pageBreakBefore w:val="0"/>
        <w:kinsoku/>
        <w:wordWrap/>
        <w:overflowPunct/>
        <w:topLinePunct w:val="0"/>
        <w:autoSpaceDE/>
        <w:autoSpaceDN/>
        <w:bidi w:val="0"/>
        <w:spacing w:beforeAutospacing="0" w:afterAutospacing="0" w:line="560" w:lineRule="exact"/>
        <w:ind w:left="0" w:leftChars="0"/>
        <w:rPr>
          <w:rFonts w:hint="default" w:ascii="Times New Roman" w:hAnsi="Times New Roman" w:eastAsia="仿宋_GB2312" w:cs="Times New Roman"/>
          <w:b/>
          <w:bCs/>
          <w:color w:val="auto"/>
          <w:sz w:val="32"/>
          <w:szCs w:val="32"/>
          <w:lang w:eastAsia="zh-CN"/>
        </w:rPr>
      </w:pPr>
      <w:r>
        <w:rPr>
          <w:rFonts w:hint="default" w:ascii="Times New Roman" w:hAnsi="Times New Roman" w:eastAsia="仿宋_GB2312" w:cs="Times New Roman"/>
          <w:b/>
          <w:bCs/>
          <w:color w:val="auto"/>
          <w:sz w:val="32"/>
          <w:szCs w:val="32"/>
          <w:lang w:eastAsia="zh-CN"/>
        </w:rPr>
        <w:t>附件</w:t>
      </w:r>
      <w:r>
        <w:rPr>
          <w:rFonts w:hint="default" w:ascii="Times New Roman" w:hAnsi="Times New Roman" w:eastAsia="仿宋_GB2312" w:cs="Times New Roman"/>
          <w:b/>
          <w:bCs/>
          <w:color w:val="auto"/>
          <w:sz w:val="32"/>
          <w:szCs w:val="32"/>
          <w:lang w:val="en-US" w:eastAsia="zh-CN"/>
        </w:rPr>
        <w:t>2</w:t>
      </w:r>
      <w:r>
        <w:rPr>
          <w:rFonts w:hint="default" w:ascii="Times New Roman" w:hAnsi="Times New Roman" w:eastAsia="仿宋_GB2312" w:cs="Times New Roman"/>
          <w:b/>
          <w:bCs/>
          <w:color w:val="auto"/>
          <w:sz w:val="32"/>
          <w:szCs w:val="32"/>
          <w:lang w:eastAsia="zh-CN"/>
        </w:rPr>
        <w:t>：</w:t>
      </w:r>
    </w:p>
    <w:p w14:paraId="3C4CE884">
      <w:pPr>
        <w:pStyle w:val="10"/>
        <w:keepNext w:val="0"/>
        <w:keepLines w:val="0"/>
        <w:pageBreakBefore w:val="0"/>
        <w:widowControl w:val="0"/>
        <w:kinsoku/>
        <w:wordWrap/>
        <w:overflowPunct/>
        <w:topLinePunct w:val="0"/>
        <w:autoSpaceDE w:val="0"/>
        <w:autoSpaceDN w:val="0"/>
        <w:bidi w:val="0"/>
        <w:adjustRightInd w:val="0"/>
        <w:snapToGrid/>
        <w:spacing w:before="157" w:beforeLines="50" w:after="157" w:afterLines="50" w:line="560" w:lineRule="exact"/>
        <w:jc w:val="center"/>
        <w:textAlignment w:val="auto"/>
        <w:rPr>
          <w:rFonts w:hint="eastAsia" w:ascii="Times New Roman" w:hAnsi="Times New Roman" w:eastAsia="方正小标宋简体" w:cs="Times New Roman"/>
          <w:b w:val="0"/>
          <w:bCs/>
          <w:color w:val="auto"/>
          <w:sz w:val="44"/>
          <w:szCs w:val="44"/>
          <w:shd w:val="clear" w:color="auto" w:fill="FDFDFE"/>
          <w:lang w:val="en-US" w:eastAsia="zh-CN"/>
        </w:rPr>
      </w:pPr>
      <w:r>
        <w:rPr>
          <w:rFonts w:hint="eastAsia" w:ascii="Times New Roman" w:hAnsi="Times New Roman" w:eastAsia="方正小标宋简体" w:cs="Times New Roman"/>
          <w:b w:val="0"/>
          <w:bCs/>
          <w:color w:val="auto"/>
          <w:sz w:val="44"/>
          <w:szCs w:val="44"/>
          <w:shd w:val="clear" w:color="auto" w:fill="FDFDFE"/>
          <w:lang w:val="en-US" w:eastAsia="zh-CN"/>
        </w:rPr>
        <w:t>山东新华医疗器械股份有限公司合作需求</w:t>
      </w:r>
    </w:p>
    <w:p w14:paraId="5A441F90">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1943年11月，新华医疗诞生于胶东抗日根据地，是我党我军创建的第一家医疗器械生产企业。于2002年在上海证券交易所上市（股票代码：600587），是中国医疗器械行业协会会长单位，公司员工9000余人。</w:t>
      </w:r>
    </w:p>
    <w:p w14:paraId="79076006">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业务板块包括医疗器械、制药装备两大主业板块及医疗商贸、医疗服务。其中医疗器械涵盖感染控制、放疗及影像、手术器械及耗材、手术室整体解决方案等九大产品线，制药装备由生物制药、特种输液、中药制剂、固体制剂四大工程技术中心组成。研制开发了全球第一台过氧乙酸低温灭菌器、国内首台高能医用电子直线加速器等高精尖产品，建成了国内首个智慧化消毒供应中心、智慧化实验动物中心、智慧化内镜中心等行业创新工程，荣获了中国灭菌设备领域第一张FDA认证证书。公司感染控制产品种类和规模世界第一，放射诊疗设备、制药装备的技术水平比肩世界一流。</w:t>
      </w:r>
    </w:p>
    <w:p w14:paraId="4DC3463E">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司是国家重点高新技术企业，拥有行业内第一家国家认定企业技术中心，荣获国家级制造业单项冠军企业，入选国务院国资委“科改标杆企业”、中国制造业企业500强、中国企业专利实力500强、全国质量标杆企业、省“十强”产业集群领军企业。截至2024年底，已起草发布实施国家/行业标准107项，授权专利3778项，软件著作权360项。</w:t>
      </w:r>
    </w:p>
    <w:p w14:paraId="7D36624C">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企业已与产业链上下游企业形成稳定的战略合作关系，为</w:t>
      </w:r>
      <w:r>
        <w:rPr>
          <w:rFonts w:hint="eastAsia" w:ascii="仿宋_GB2312" w:hAnsi="仿宋_GB2312" w:eastAsia="仿宋_GB2312" w:cs="仿宋_GB2312"/>
          <w:color w:val="000000"/>
          <w:sz w:val="32"/>
          <w:szCs w:val="32"/>
          <w:lang w:val="en-US" w:eastAsia="zh-CN"/>
        </w:rPr>
        <w:t>进一步提升企业技术水平、开展高质量业务合作，</w:t>
      </w:r>
      <w:r>
        <w:rPr>
          <w:rFonts w:hint="eastAsia" w:ascii="仿宋_GB2312" w:hAnsi="仿宋_GB2312" w:eastAsia="仿宋_GB2312" w:cs="仿宋_GB2312"/>
          <w:color w:val="000000"/>
          <w:sz w:val="32"/>
          <w:szCs w:val="32"/>
        </w:rPr>
        <w:t>现针</w:t>
      </w:r>
      <w:r>
        <w:rPr>
          <w:rFonts w:hint="eastAsia" w:ascii="仿宋_GB2312" w:hAnsi="仿宋_GB2312" w:eastAsia="仿宋_GB2312" w:cs="仿宋_GB2312"/>
          <w:color w:val="000000"/>
          <w:sz w:val="32"/>
          <w:szCs w:val="32"/>
          <w:lang w:val="en-US" w:eastAsia="zh-CN"/>
        </w:rPr>
        <w:t>对以下内容</w:t>
      </w:r>
      <w:r>
        <w:rPr>
          <w:rFonts w:hint="eastAsia" w:ascii="仿宋_GB2312" w:hAnsi="仿宋_GB2312" w:eastAsia="仿宋_GB2312" w:cs="仿宋_GB2312"/>
          <w:color w:val="000000"/>
          <w:sz w:val="32"/>
          <w:szCs w:val="32"/>
        </w:rPr>
        <w:t>发寻求合作如下：</w:t>
      </w:r>
    </w:p>
    <w:p w14:paraId="74F37E37">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一、研发及技术合作需求</w:t>
      </w:r>
    </w:p>
    <w:p w14:paraId="77927F78">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w:t>
      </w:r>
      <w:r>
        <w:rPr>
          <w:rFonts w:hint="eastAsia" w:ascii="楷体_GB2312" w:hAnsi="楷体_GB2312" w:eastAsia="楷体_GB2312" w:cs="楷体_GB2312"/>
          <w:sz w:val="32"/>
          <w:szCs w:val="32"/>
          <w:lang w:val="en-US" w:eastAsia="zh-CN"/>
        </w:rPr>
        <w:t>研发合作</w:t>
      </w:r>
      <w:r>
        <w:rPr>
          <w:rFonts w:hint="eastAsia" w:ascii="楷体_GB2312" w:hAnsi="楷体_GB2312" w:eastAsia="楷体_GB2312" w:cs="楷体_GB2312"/>
          <w:sz w:val="32"/>
          <w:szCs w:val="32"/>
        </w:rPr>
        <w:t>需求</w:t>
      </w:r>
    </w:p>
    <w:p w14:paraId="0D69B721">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w:t>
      </w:r>
      <w:r>
        <w:rPr>
          <w:rFonts w:hint="eastAsia" w:ascii="仿宋_GB2312" w:hAnsi="仿宋_GB2312" w:eastAsia="仿宋_GB2312" w:cs="仿宋_GB2312"/>
          <w:sz w:val="32"/>
          <w:szCs w:val="32"/>
        </w:rPr>
        <w:t>“人工智能+”应用场景</w:t>
      </w:r>
      <w:r>
        <w:rPr>
          <w:rFonts w:hint="eastAsia" w:ascii="仿宋_GB2312" w:hAnsi="仿宋_GB2312" w:eastAsia="仿宋_GB2312" w:cs="仿宋_GB2312"/>
          <w:sz w:val="32"/>
          <w:szCs w:val="32"/>
          <w:lang w:val="en-US" w:eastAsia="zh-CN"/>
        </w:rPr>
        <w:t>领域，</w:t>
      </w:r>
      <w:r>
        <w:rPr>
          <w:rFonts w:hint="eastAsia" w:ascii="仿宋_GB2312" w:hAnsi="仿宋_GB2312" w:eastAsia="仿宋_GB2312" w:cs="仿宋_GB2312"/>
          <w:sz w:val="32"/>
          <w:szCs w:val="32"/>
        </w:rPr>
        <w:t>应用具身智能机器人解决消毒供应中心及内镜洗消中心的核心痛点。通过实现机器人对“打包、分拣、搬运”等核心任务的高精度、高可靠性替代，从根本上提升作业效率与一致性，杜绝因人为因素导致的感染风险与质量波动，为实现医疗关键场景的“无人化值守”与安全运营提供坚实保障。</w:t>
      </w:r>
    </w:p>
    <w:p w14:paraId="6F8514B1">
      <w:pPr>
        <w:keepNext w:val="0"/>
        <w:keepLines w:val="0"/>
        <w:pageBreakBefore w:val="0"/>
        <w:widowControl w:val="0"/>
        <w:kinsoku/>
        <w:wordWrap/>
        <w:overflowPunct/>
        <w:topLinePunct w:val="0"/>
        <w:autoSpaceDE/>
        <w:autoSpaceDN/>
        <w:bidi w:val="0"/>
        <w:adjustRightInd/>
        <w:spacing w:afterAutospacing="0" w:line="560" w:lineRule="exact"/>
        <w:ind w:lef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机器人本体开发</w:t>
      </w:r>
    </w:p>
    <w:p w14:paraId="5A7B06EA">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研制固定式双臂机器人，工作半径达1800mm，负载能力5kg，适用于固定场景作业；开发轮足式双臂机器人，操作高度可达2m，单臂臂展不小于600mm，能够适应多样化场景任务。两种机器人均配备灵巧手或夹爪等末端执行器。</w:t>
      </w:r>
    </w:p>
    <w:p w14:paraId="66AC8459">
      <w:pPr>
        <w:keepNext w:val="0"/>
        <w:keepLines w:val="0"/>
        <w:pageBreakBefore w:val="0"/>
        <w:widowControl w:val="0"/>
        <w:kinsoku/>
        <w:wordWrap/>
        <w:overflowPunct/>
        <w:topLinePunct w:val="0"/>
        <w:autoSpaceDE/>
        <w:autoSpaceDN/>
        <w:bidi w:val="0"/>
        <w:adjustRightInd/>
        <w:spacing w:afterAutospacing="0" w:line="560" w:lineRule="exact"/>
        <w:ind w:lef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rPr>
        <w:t>具身智能机器人系统开发</w:t>
      </w:r>
    </w:p>
    <w:p w14:paraId="373AF014">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构建CSSD与ESSD两大应用场景下的具身智能作业系统，覆盖全场景作业动作；搭建完整的具身智能开发环境，集成真实数据采集与标注、仿真数据生成、模型训练、仿真验证及推理部署全流程工具链，支持</w:t>
      </w:r>
      <w:r>
        <w:rPr>
          <w:rFonts w:hint="eastAsia" w:ascii="仿宋_GB2312" w:hAnsi="仿宋_GB2312" w:eastAsia="仿宋_GB2312" w:cs="仿宋_GB2312"/>
          <w:sz w:val="32"/>
          <w:szCs w:val="32"/>
          <w:lang w:val="en-US" w:eastAsia="zh-CN"/>
        </w:rPr>
        <w:t>多</w:t>
      </w:r>
      <w:r>
        <w:rPr>
          <w:rFonts w:hint="eastAsia" w:ascii="仿宋_GB2312" w:hAnsi="仿宋_GB2312" w:eastAsia="仿宋_GB2312" w:cs="仿宋_GB2312"/>
          <w:sz w:val="32"/>
          <w:szCs w:val="32"/>
        </w:rPr>
        <w:t>台机器人并行开发。</w:t>
      </w:r>
    </w:p>
    <w:p w14:paraId="2CE2FA10">
      <w:pPr>
        <w:keepNext w:val="0"/>
        <w:keepLines w:val="0"/>
        <w:pageBreakBefore w:val="0"/>
        <w:widowControl w:val="0"/>
        <w:kinsoku/>
        <w:wordWrap/>
        <w:overflowPunct/>
        <w:topLinePunct w:val="0"/>
        <w:autoSpaceDE/>
        <w:autoSpaceDN/>
        <w:bidi w:val="0"/>
        <w:adjustRightInd/>
        <w:spacing w:afterAutospacing="0" w:line="560" w:lineRule="exact"/>
        <w:ind w:lef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3.</w:t>
      </w:r>
      <w:r>
        <w:rPr>
          <w:rFonts w:hint="eastAsia" w:ascii="仿宋_GB2312" w:hAnsi="仿宋_GB2312" w:eastAsia="仿宋_GB2312" w:cs="仿宋_GB2312"/>
          <w:b/>
          <w:bCs/>
          <w:sz w:val="32"/>
          <w:szCs w:val="32"/>
        </w:rPr>
        <w:t>构建原子化动作库</w:t>
      </w:r>
    </w:p>
    <w:p w14:paraId="404570E3">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基于任务拆解提取动作单元，完成面向特定本体的原子动作数据采集，建立标准化的原子动作库。动作内容涵盖器械清点、托盘与篮筐摆放、打包、器械检查、器械摆放及搬运等多种任务。</w:t>
      </w:r>
    </w:p>
    <w:p w14:paraId="5AD5C1EC">
      <w:pPr>
        <w:keepNext w:val="0"/>
        <w:keepLines w:val="0"/>
        <w:pageBreakBefore w:val="0"/>
        <w:widowControl w:val="0"/>
        <w:kinsoku/>
        <w:wordWrap/>
        <w:overflowPunct/>
        <w:topLinePunct w:val="0"/>
        <w:autoSpaceDE/>
        <w:autoSpaceDN/>
        <w:bidi w:val="0"/>
        <w:adjustRightInd/>
        <w:spacing w:afterAutospacing="0" w:line="560" w:lineRule="exact"/>
        <w:ind w:left="0" w:firstLine="643"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4.</w:t>
      </w:r>
      <w:r>
        <w:rPr>
          <w:rFonts w:hint="eastAsia" w:ascii="仿宋_GB2312" w:hAnsi="仿宋_GB2312" w:eastAsia="仿宋_GB2312" w:cs="仿宋_GB2312"/>
          <w:b/>
          <w:bCs/>
          <w:sz w:val="32"/>
          <w:szCs w:val="32"/>
        </w:rPr>
        <w:t>具身智能机器人部署</w:t>
      </w:r>
    </w:p>
    <w:p w14:paraId="67AFCD8C">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训练可执行特定任务的机器人，并构建医院场景任务数据集，为机器人实际应用与持续优化提供数据支撑。</w:t>
      </w:r>
    </w:p>
    <w:p w14:paraId="605ADC15">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rPr>
        <w:t>）技术合作开发需求</w:t>
      </w:r>
    </w:p>
    <w:p w14:paraId="4F97A349">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ascii="仿宋_GB2312" w:hAnsi="仿宋_GB2312" w:eastAsia="仿宋_GB2312" w:cs="仿宋_GB2312"/>
          <w:sz w:val="32"/>
          <w:szCs w:val="32"/>
        </w:rPr>
      </w:pPr>
      <w:r>
        <w:rPr>
          <w:rFonts w:hint="eastAsia" w:ascii="仿宋_GB2312" w:hAnsi="仿宋_GB2312" w:eastAsia="仿宋_GB2312" w:cs="仿宋_GB2312"/>
          <w:sz w:val="32"/>
          <w:szCs w:val="32"/>
        </w:rPr>
        <w:t>本次合作的项目主要针对BFS设备核心部件</w:t>
      </w:r>
      <w:r>
        <w:rPr>
          <w:rFonts w:hint="eastAsia" w:ascii="仿宋_GB2312" w:hAnsi="仿宋_GB2312" w:eastAsia="仿宋_GB2312" w:cs="仿宋_GB2312"/>
          <w:sz w:val="32"/>
          <w:szCs w:val="32"/>
          <w:lang w:val="en-US" w:eastAsia="zh-CN"/>
        </w:rPr>
        <w:t>相关技术</w:t>
      </w:r>
      <w:r>
        <w:rPr>
          <w:rFonts w:hint="eastAsia" w:ascii="仿宋_GB2312" w:hAnsi="仿宋_GB2312" w:eastAsia="仿宋_GB2312" w:cs="仿宋_GB2312"/>
          <w:sz w:val="32"/>
          <w:szCs w:val="32"/>
        </w:rPr>
        <w:t>。BFS是</w:t>
      </w:r>
      <w:r>
        <w:rPr>
          <w:rFonts w:ascii="仿宋_GB2312" w:hAnsi="仿宋_GB2312" w:eastAsia="仿宋_GB2312" w:cs="仿宋_GB2312"/>
          <w:sz w:val="32"/>
          <w:szCs w:val="32"/>
        </w:rPr>
        <w:t>塑料瓶吹灌封一体机（Blow-Fill-Seal</w:t>
      </w:r>
      <w:r>
        <w:rPr>
          <w:rFonts w:ascii="Arial" w:hAnsi="Arial" w:cs="Arial"/>
          <w:color w:val="000000"/>
          <w:sz w:val="24"/>
        </w:rPr>
        <w:t xml:space="preserve"> </w:t>
      </w:r>
      <w:r>
        <w:rPr>
          <w:rFonts w:ascii="仿宋_GB2312" w:hAnsi="仿宋_GB2312" w:eastAsia="仿宋_GB2312" w:cs="仿宋_GB2312"/>
          <w:sz w:val="32"/>
          <w:szCs w:val="32"/>
        </w:rPr>
        <w:t>machine ）</w:t>
      </w:r>
      <w:r>
        <w:rPr>
          <w:rFonts w:hint="eastAsia" w:ascii="仿宋_GB2312" w:hAnsi="仿宋_GB2312" w:eastAsia="仿宋_GB2312" w:cs="仿宋_GB2312"/>
          <w:sz w:val="32"/>
          <w:szCs w:val="32"/>
        </w:rPr>
        <w:t>的简称，是</w:t>
      </w:r>
      <w:r>
        <w:rPr>
          <w:rFonts w:ascii="仿宋_GB2312" w:hAnsi="仿宋_GB2312" w:eastAsia="仿宋_GB2312" w:cs="仿宋_GB2312"/>
          <w:sz w:val="32"/>
          <w:szCs w:val="32"/>
        </w:rPr>
        <w:t>用于塑料包装溶液生产的一种</w:t>
      </w:r>
      <w:r>
        <w:rPr>
          <w:rFonts w:hint="eastAsia" w:ascii="仿宋_GB2312" w:hAnsi="仿宋_GB2312" w:eastAsia="仿宋_GB2312" w:cs="仿宋_GB2312"/>
          <w:sz w:val="32"/>
          <w:szCs w:val="32"/>
        </w:rPr>
        <w:t>设备</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该设备</w:t>
      </w:r>
      <w:r>
        <w:rPr>
          <w:rFonts w:ascii="仿宋_GB2312" w:hAnsi="仿宋_GB2312" w:eastAsia="仿宋_GB2312" w:cs="仿宋_GB2312"/>
          <w:sz w:val="32"/>
          <w:szCs w:val="32"/>
        </w:rPr>
        <w:t>广泛应用在塑料包装最终灭菌产品、无菌产品等生产领域，其不但适用于产品的大批量生产，且具有无菌稳定性良好、交叉污染机率小、生产成本和管理成本低等优点。</w:t>
      </w:r>
    </w:p>
    <w:p w14:paraId="5809883D">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挤出模头、灌装针、模具是BFS设备的核心部件，目前遇到一些</w:t>
      </w:r>
      <w:r>
        <w:rPr>
          <w:rFonts w:hint="eastAsia" w:ascii="仿宋_GB2312" w:hAnsi="仿宋_GB2312" w:eastAsia="仿宋_GB2312" w:cs="仿宋_GB2312"/>
          <w:sz w:val="32"/>
          <w:szCs w:val="32"/>
          <w:lang w:val="en-US" w:eastAsia="zh-CN"/>
        </w:rPr>
        <w:t>工艺技术</w:t>
      </w:r>
      <w:r>
        <w:rPr>
          <w:rFonts w:hint="eastAsia" w:ascii="仿宋_GB2312" w:hAnsi="仿宋_GB2312" w:eastAsia="仿宋_GB2312" w:cs="仿宋_GB2312"/>
          <w:sz w:val="32"/>
          <w:szCs w:val="32"/>
        </w:rPr>
        <w:t>难题，亟需攻克。</w:t>
      </w:r>
    </w:p>
    <w:p w14:paraId="25E3B933">
      <w:pPr>
        <w:keepNext w:val="0"/>
        <w:keepLines w:val="0"/>
        <w:pageBreakBefore w:val="0"/>
        <w:widowControl w:val="0"/>
        <w:kinsoku/>
        <w:wordWrap/>
        <w:overflowPunct/>
        <w:topLinePunct w:val="0"/>
        <w:autoSpaceDE/>
        <w:autoSpaceDN/>
        <w:bidi w:val="0"/>
        <w:adjustRightInd/>
        <w:spacing w:afterAutospacing="0" w:line="560" w:lineRule="exact"/>
        <w:ind w:left="0"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BFS挤出模头防锈技术</w:t>
      </w:r>
    </w:p>
    <w:p w14:paraId="07E2C4FC">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目前</w:t>
      </w:r>
      <w:r>
        <w:rPr>
          <w:rFonts w:hint="eastAsia" w:ascii="仿宋_GB2312" w:hAnsi="仿宋_GB2312" w:eastAsia="仿宋_GB2312" w:cs="仿宋_GB2312"/>
          <w:sz w:val="32"/>
          <w:szCs w:val="32"/>
        </w:rPr>
        <w:t>BFS产品</w:t>
      </w:r>
      <w:r>
        <w:rPr>
          <w:rFonts w:ascii="仿宋_GB2312" w:hAnsi="仿宋_GB2312" w:eastAsia="仿宋_GB2312" w:cs="仿宋_GB2312"/>
          <w:sz w:val="32"/>
          <w:szCs w:val="32"/>
        </w:rPr>
        <w:t>模头材料为S136，挤出模头耐氯化钠、氯化钾产品的氯离子腐蚀能力差，易生锈。</w:t>
      </w:r>
      <w:r>
        <w:rPr>
          <w:rFonts w:hint="eastAsia" w:ascii="仿宋_GB2312" w:hAnsi="仿宋_GB2312" w:eastAsia="仿宋_GB2312" w:cs="仿宋_GB2312"/>
          <w:sz w:val="32"/>
          <w:szCs w:val="32"/>
        </w:rPr>
        <w:t>寻求</w:t>
      </w:r>
      <w:r>
        <w:rPr>
          <w:rFonts w:ascii="仿宋_GB2312" w:hAnsi="仿宋_GB2312" w:eastAsia="仿宋_GB2312" w:cs="仿宋_GB2312"/>
          <w:sz w:val="32"/>
          <w:szCs w:val="32"/>
        </w:rPr>
        <w:t>既能满足模头强度要求，又能满足防锈要求的材料或表面处理方式</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技术指标</w:t>
      </w:r>
      <w:r>
        <w:rPr>
          <w:rFonts w:hint="eastAsia" w:ascii="仿宋_GB2312" w:hAnsi="仿宋_GB2312" w:eastAsia="仿宋_GB2312" w:cs="仿宋_GB2312"/>
          <w:sz w:val="32"/>
          <w:szCs w:val="32"/>
        </w:rPr>
        <w:t>实现</w:t>
      </w:r>
      <w:r>
        <w:rPr>
          <w:rFonts w:ascii="仿宋_GB2312" w:hAnsi="仿宋_GB2312" w:eastAsia="仿宋_GB2312" w:cs="仿宋_GB2312"/>
          <w:sz w:val="32"/>
          <w:szCs w:val="32"/>
        </w:rPr>
        <w:t>5%氯化钠中性盐雾120h无生锈。</w:t>
      </w:r>
    </w:p>
    <w:p w14:paraId="359E19EF">
      <w:pPr>
        <w:keepNext w:val="0"/>
        <w:keepLines w:val="0"/>
        <w:pageBreakBefore w:val="0"/>
        <w:widowControl w:val="0"/>
        <w:kinsoku/>
        <w:wordWrap/>
        <w:overflowPunct/>
        <w:topLinePunct w:val="0"/>
        <w:autoSpaceDE/>
        <w:autoSpaceDN/>
        <w:bidi w:val="0"/>
        <w:adjustRightInd/>
        <w:spacing w:afterAutospacing="0" w:line="560" w:lineRule="exact"/>
        <w:ind w:left="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2.模具防锈技术</w:t>
      </w:r>
    </w:p>
    <w:p w14:paraId="299F6E23">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目前模具材质为铝青铜做表面晒纹处理</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实际使用中模具表面会遇到耐氯化钠、氯化钾产品的高浓度氯离子腐蚀和2%氢氧化钠溶液腐蚀。</w:t>
      </w:r>
      <w:r>
        <w:rPr>
          <w:rFonts w:hint="eastAsia" w:ascii="仿宋_GB2312" w:hAnsi="仿宋_GB2312" w:eastAsia="仿宋_GB2312" w:cs="仿宋_GB2312"/>
          <w:sz w:val="32"/>
          <w:szCs w:val="32"/>
          <w:lang w:val="en-US" w:eastAsia="zh-CN"/>
        </w:rPr>
        <w:t>寻</w:t>
      </w:r>
      <w:r>
        <w:rPr>
          <w:rFonts w:hint="eastAsia" w:ascii="仿宋_GB2312" w:hAnsi="仿宋_GB2312" w:eastAsia="仿宋_GB2312" w:cs="仿宋_GB2312"/>
          <w:sz w:val="32"/>
          <w:szCs w:val="32"/>
        </w:rPr>
        <w:t>求</w:t>
      </w:r>
      <w:r>
        <w:rPr>
          <w:rFonts w:ascii="仿宋_GB2312" w:hAnsi="仿宋_GB2312" w:eastAsia="仿宋_GB2312" w:cs="仿宋_GB2312"/>
          <w:sz w:val="32"/>
          <w:szCs w:val="32"/>
        </w:rPr>
        <w:t>通过表面处理</w:t>
      </w:r>
      <w:r>
        <w:rPr>
          <w:rFonts w:hint="eastAsia" w:ascii="仿宋_GB2312" w:hAnsi="仿宋_GB2312" w:eastAsia="仿宋_GB2312" w:cs="仿宋_GB2312"/>
          <w:sz w:val="32"/>
          <w:szCs w:val="32"/>
        </w:rPr>
        <w:t>方式</w:t>
      </w:r>
      <w:r>
        <w:rPr>
          <w:rFonts w:ascii="仿宋_GB2312" w:hAnsi="仿宋_GB2312" w:eastAsia="仿宋_GB2312" w:cs="仿宋_GB2312"/>
          <w:sz w:val="32"/>
          <w:szCs w:val="32"/>
        </w:rPr>
        <w:t>，提高防锈性能</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技术指标</w:t>
      </w:r>
      <w:r>
        <w:rPr>
          <w:rFonts w:hint="eastAsia" w:ascii="仿宋_GB2312" w:hAnsi="仿宋_GB2312" w:eastAsia="仿宋_GB2312" w:cs="仿宋_GB2312"/>
          <w:sz w:val="32"/>
          <w:szCs w:val="32"/>
        </w:rPr>
        <w:t>实现</w:t>
      </w:r>
      <w:r>
        <w:rPr>
          <w:rFonts w:ascii="仿宋_GB2312" w:hAnsi="仿宋_GB2312" w:eastAsia="仿宋_GB2312" w:cs="仿宋_GB2312"/>
          <w:sz w:val="32"/>
          <w:szCs w:val="32"/>
        </w:rPr>
        <w:t>5%氯化钠中性盐雾120h无生锈。</w:t>
      </w:r>
    </w:p>
    <w:p w14:paraId="65E4910D">
      <w:pPr>
        <w:keepNext w:val="0"/>
        <w:keepLines w:val="0"/>
        <w:pageBreakBefore w:val="0"/>
        <w:widowControl w:val="0"/>
        <w:kinsoku/>
        <w:wordWrap/>
        <w:overflowPunct/>
        <w:topLinePunct w:val="0"/>
        <w:autoSpaceDE/>
        <w:autoSpaceDN/>
        <w:bidi w:val="0"/>
        <w:adjustRightInd/>
        <w:spacing w:afterAutospacing="0" w:line="560" w:lineRule="exact"/>
        <w:ind w:left="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3.灌装针表面硬化技术</w:t>
      </w:r>
    </w:p>
    <w:p w14:paraId="128AD83E">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jc w:val="left"/>
        <w:textAlignment w:val="auto"/>
        <w:rPr>
          <w:rFonts w:ascii="仿宋_GB2312" w:hAnsi="仿宋_GB2312" w:eastAsia="仿宋_GB2312" w:cs="仿宋_GB2312"/>
          <w:sz w:val="32"/>
          <w:szCs w:val="32"/>
        </w:rPr>
      </w:pPr>
      <w:r>
        <w:rPr>
          <w:rFonts w:ascii="仿宋_GB2312" w:hAnsi="仿宋_GB2312" w:eastAsia="仿宋_GB2312" w:cs="仿宋_GB2312"/>
          <w:sz w:val="32"/>
          <w:szCs w:val="32"/>
        </w:rPr>
        <w:t>316L材质灌装针，因为其硬度低，耐磨性差，与工程塑料轴套摩擦时磨损严重。</w:t>
      </w:r>
      <w:r>
        <w:rPr>
          <w:rFonts w:hint="eastAsia" w:ascii="仿宋_GB2312" w:hAnsi="仿宋_GB2312" w:eastAsia="仿宋_GB2312" w:cs="仿宋_GB2312"/>
          <w:sz w:val="32"/>
          <w:szCs w:val="32"/>
        </w:rPr>
        <w:t>寻求</w:t>
      </w:r>
      <w:r>
        <w:rPr>
          <w:rFonts w:ascii="仿宋_GB2312" w:hAnsi="仿宋_GB2312" w:eastAsia="仿宋_GB2312" w:cs="仿宋_GB2312"/>
          <w:sz w:val="32"/>
          <w:szCs w:val="32"/>
        </w:rPr>
        <w:t>通过表面做镀铬或其它处理，提高耐磨性。技术指标</w:t>
      </w:r>
      <w:r>
        <w:rPr>
          <w:rFonts w:hint="eastAsia" w:ascii="仿宋_GB2312" w:hAnsi="仿宋_GB2312" w:eastAsia="仿宋_GB2312" w:cs="仿宋_GB2312"/>
          <w:sz w:val="32"/>
          <w:szCs w:val="32"/>
        </w:rPr>
        <w:t>实现</w:t>
      </w:r>
      <w:r>
        <w:rPr>
          <w:rFonts w:ascii="仿宋_GB2312" w:hAnsi="仿宋_GB2312" w:eastAsia="仿宋_GB2312" w:cs="仿宋_GB2312"/>
          <w:sz w:val="32"/>
          <w:szCs w:val="32"/>
        </w:rPr>
        <w:t>镀层不脱落，与邵氏硬度50的聚四氟乙烯导向套配合摩擦，磨损量≤0.01mm/3万小时。</w:t>
      </w:r>
    </w:p>
    <w:p w14:paraId="6F43FA3F">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（三）供应链需求</w:t>
      </w:r>
    </w:p>
    <w:p w14:paraId="2AA0E261">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新华医疗积极拓展供应链渠道，</w:t>
      </w:r>
      <w:r>
        <w:rPr>
          <w:rFonts w:hint="eastAsia" w:ascii="仿宋_GB2312" w:hAnsi="仿宋_GB2312" w:eastAsia="仿宋_GB2312" w:cs="仿宋_GB2312"/>
          <w:sz w:val="32"/>
          <w:szCs w:val="32"/>
          <w:lang w:val="en-US" w:eastAsia="zh-CN"/>
        </w:rPr>
        <w:t>力争</w:t>
      </w:r>
      <w:r>
        <w:rPr>
          <w:rFonts w:hint="eastAsia" w:ascii="仿宋_GB2312" w:hAnsi="仿宋_GB2312" w:eastAsia="仿宋_GB2312" w:cs="仿宋_GB2312"/>
          <w:sz w:val="32"/>
          <w:szCs w:val="32"/>
        </w:rPr>
        <w:t>实现供应链的多元化</w:t>
      </w:r>
      <w:r>
        <w:rPr>
          <w:rFonts w:hint="eastAsia" w:ascii="仿宋_GB2312" w:hAnsi="仿宋_GB2312" w:eastAsia="仿宋_GB2312" w:cs="仿宋_GB2312"/>
          <w:sz w:val="32"/>
          <w:szCs w:val="32"/>
          <w:lang w:val="en-US" w:eastAsia="zh-CN"/>
        </w:rPr>
        <w:t>发展，降低国内外政策对企业的影响。</w:t>
      </w:r>
    </w:p>
    <w:p w14:paraId="157D2BEB">
      <w:pPr>
        <w:keepNext w:val="0"/>
        <w:keepLines w:val="0"/>
        <w:pageBreakBefore w:val="0"/>
        <w:widowControl w:val="0"/>
        <w:kinsoku/>
        <w:wordWrap/>
        <w:overflowPunct/>
        <w:topLinePunct w:val="0"/>
        <w:autoSpaceDE/>
        <w:autoSpaceDN/>
        <w:bidi w:val="0"/>
        <w:adjustRightInd/>
        <w:spacing w:afterAutospacing="0" w:line="560" w:lineRule="exact"/>
        <w:ind w:left="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1.核心品类与需求</w:t>
      </w:r>
    </w:p>
    <w:p w14:paraId="587917E2">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基础结构与流体控制部件：如高精度阀门、泵及医用级钢板，需满足医疗级强度、耐腐蚀性与无菌标准，用于灭菌设备、制药整机等高端装备。</w:t>
      </w:r>
    </w:p>
    <w:p w14:paraId="7AEE6751">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智能控制与电子元件：包括传感器、控制器、芯片等，需具备高可靠性、低功耗及数据互联能力，适配制药装备控制系统等智能化设备。</w:t>
      </w:r>
    </w:p>
    <w:p w14:paraId="76B580CA">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核心原材料与软件系统：涵盖医用级高分子材料、耐腐蚀特种材料，以及符合医疗数据安全与法规要求的设备控制、追溯软件。</w:t>
      </w:r>
    </w:p>
    <w:p w14:paraId="22AF632E">
      <w:pPr>
        <w:keepNext w:val="0"/>
        <w:keepLines w:val="0"/>
        <w:pageBreakBefore w:val="0"/>
        <w:widowControl w:val="0"/>
        <w:kinsoku/>
        <w:wordWrap/>
        <w:overflowPunct/>
        <w:topLinePunct w:val="0"/>
        <w:autoSpaceDE/>
        <w:autoSpaceDN/>
        <w:bidi w:val="0"/>
        <w:adjustRightInd/>
        <w:spacing w:afterAutospacing="0" w:line="560" w:lineRule="exact"/>
        <w:ind w:left="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2.供应商合作标准</w:t>
      </w:r>
    </w:p>
    <w:p w14:paraId="246CAE23">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合规与质量：需具备完善质量控制体系，提供完整合规资质与检测报告，符合GMP及医疗级标准。</w:t>
      </w:r>
    </w:p>
    <w:p w14:paraId="44C1FDAE">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技术与创新：具备研发与定制化能力，能配合产品迭代与性能优化。</w:t>
      </w:r>
    </w:p>
    <w:p w14:paraId="0530EC72">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协同与韧性：拥有稳定产能与履约能力，支持VMI等协同机制，满足医疗物资物流及应急保障要求。</w:t>
      </w:r>
    </w:p>
    <w:p w14:paraId="3E7DE724">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保密与信息安全：供应商必须承诺并严格执行信息保密协议，对新华医疗提供的技术资料、产品参数、商业计划等一切未公开信息承担保密责任，并具备相应的数据安全管理措施，确保知识产权与商业秘密不受侵犯。</w:t>
      </w:r>
    </w:p>
    <w:p w14:paraId="48F21895">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w:t>
      </w:r>
      <w:r>
        <w:rPr>
          <w:rFonts w:hint="eastAsia" w:ascii="黑体" w:hAnsi="黑体" w:eastAsia="黑体" w:cs="黑体"/>
          <w:b w:val="0"/>
          <w:bCs w:val="0"/>
          <w:color w:val="auto"/>
          <w:sz w:val="32"/>
          <w:szCs w:val="32"/>
          <w:lang w:val="en-US" w:eastAsia="zh-CN"/>
        </w:rPr>
        <w:t>市场需求</w:t>
      </w:r>
    </w:p>
    <w:p w14:paraId="6218C5AD">
      <w:pPr>
        <w:keepNext w:val="0"/>
        <w:keepLines w:val="0"/>
        <w:pageBreakBefore w:val="0"/>
        <w:widowControl w:val="0"/>
        <w:kinsoku/>
        <w:wordWrap/>
        <w:overflowPunct/>
        <w:topLinePunct w:val="0"/>
        <w:autoSpaceDE/>
        <w:autoSpaceDN/>
        <w:bidi w:val="0"/>
        <w:adjustRightInd/>
        <w:spacing w:afterAutospacing="0" w:line="560" w:lineRule="exact"/>
        <w:ind w:left="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（一）寻找产品代理商</w:t>
      </w:r>
    </w:p>
    <w:p w14:paraId="363C9EB8">
      <w:pPr>
        <w:keepNext w:val="0"/>
        <w:keepLines w:val="0"/>
        <w:pageBreakBefore w:val="0"/>
        <w:widowControl w:val="0"/>
        <w:kinsoku/>
        <w:wordWrap/>
        <w:overflowPunct/>
        <w:topLinePunct w:val="0"/>
        <w:autoSpaceDE/>
        <w:autoSpaceDN/>
        <w:bidi w:val="0"/>
        <w:adjustRightInd/>
        <w:spacing w:afterAutospacing="0" w:line="560" w:lineRule="exact"/>
        <w:ind w:left="0" w:firstLine="643" w:firstLineChars="200"/>
        <w:jc w:val="left"/>
        <w:textAlignment w:val="auto"/>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1.智能化静配中心整体解决方案</w:t>
      </w:r>
    </w:p>
    <w:p w14:paraId="5B065092">
      <w:pPr>
        <w:pStyle w:val="3"/>
        <w:keepNext w:val="0"/>
        <w:keepLines w:val="0"/>
        <w:pageBreakBefore w:val="0"/>
        <w:widowControl w:val="0"/>
        <w:kinsoku/>
        <w:wordWrap/>
        <w:overflowPunct/>
        <w:topLinePunct w:val="0"/>
        <w:autoSpaceDE/>
        <w:autoSpaceDN/>
        <w:bidi w:val="0"/>
        <w:adjustRightInd/>
        <w:spacing w:before="0" w:after="0" w:afterAutospacing="0" w:line="560" w:lineRule="exact"/>
        <w:ind w:left="0" w:firstLine="640" w:firstLineChars="200"/>
        <w:textAlignment w:val="auto"/>
        <w:rPr>
          <w:rFonts w:hint="eastAsia" w:ascii="仿宋_GB2312" w:hAnsi="仿宋_GB2312" w:eastAsia="仿宋_GB2312" w:cs="仿宋_GB2312"/>
          <w:snapToGrid/>
          <w:kern w:val="2"/>
          <w:sz w:val="32"/>
          <w:szCs w:val="32"/>
          <w:lang w:val="zh-CN" w:eastAsia="zh-CN" w:bidi="ar-SA"/>
        </w:rPr>
      </w:pPr>
      <w:r>
        <w:rPr>
          <w:rFonts w:hint="eastAsia" w:ascii="仿宋_GB2312" w:hAnsi="仿宋_GB2312" w:eastAsia="仿宋_GB2312" w:cs="仿宋_GB2312"/>
          <w:snapToGrid/>
          <w:kern w:val="2"/>
          <w:sz w:val="32"/>
          <w:szCs w:val="32"/>
          <w:lang w:val="zh-CN" w:eastAsia="zh-CN" w:bidi="ar-SA"/>
        </w:rPr>
        <w:t>智慧化静配中心整体解决方案引入智能输液分拣机、输液贴签机、智能配药机器人、智能统排机、智能剥盖机、智能</w:t>
      </w:r>
      <w:r>
        <w:rPr>
          <w:rFonts w:hint="eastAsia" w:ascii="仿宋_GB2312" w:hAnsi="仿宋_GB2312" w:eastAsia="仿宋_GB2312" w:cs="仿宋_GB2312"/>
          <w:snapToGrid/>
          <w:kern w:val="2"/>
          <w:sz w:val="32"/>
          <w:szCs w:val="32"/>
          <w:lang w:val="en-US" w:eastAsia="zh-CN" w:bidi="ar-SA"/>
        </w:rPr>
        <w:t>货架、篮筐清洗机</w:t>
      </w:r>
      <w:r>
        <w:rPr>
          <w:rFonts w:hint="eastAsia" w:ascii="仿宋_GB2312" w:hAnsi="仿宋_GB2312" w:eastAsia="仿宋_GB2312" w:cs="仿宋_GB2312"/>
          <w:snapToGrid/>
          <w:kern w:val="2"/>
          <w:sz w:val="32"/>
          <w:szCs w:val="32"/>
          <w:lang w:val="zh-CN" w:eastAsia="zh-CN" w:bidi="ar-SA"/>
        </w:rPr>
        <w:t>等设备</w:t>
      </w:r>
      <w:r>
        <w:rPr>
          <w:rFonts w:hint="eastAsia" w:ascii="仿宋_GB2312" w:hAnsi="仿宋_GB2312" w:eastAsia="仿宋_GB2312" w:cs="仿宋_GB2312"/>
          <w:snapToGrid/>
          <w:kern w:val="2"/>
          <w:sz w:val="32"/>
          <w:szCs w:val="32"/>
          <w:lang w:val="en-US" w:eastAsia="zh-CN" w:bidi="ar-SA"/>
        </w:rPr>
        <w:t>以及管理软件</w:t>
      </w:r>
      <w:r>
        <w:rPr>
          <w:rFonts w:hint="eastAsia" w:ascii="仿宋_GB2312" w:hAnsi="仿宋_GB2312" w:eastAsia="仿宋_GB2312" w:cs="仿宋_GB2312"/>
          <w:snapToGrid/>
          <w:kern w:val="2"/>
          <w:sz w:val="32"/>
          <w:szCs w:val="32"/>
          <w:lang w:val="zh-CN" w:eastAsia="zh-CN" w:bidi="ar-SA"/>
        </w:rPr>
        <w:t>，实现药品盘点、排药、贴签、</w:t>
      </w:r>
      <w:r>
        <w:rPr>
          <w:rFonts w:hint="eastAsia" w:ascii="仿宋_GB2312" w:hAnsi="仿宋_GB2312" w:eastAsia="仿宋_GB2312" w:cs="仿宋_GB2312"/>
          <w:snapToGrid/>
          <w:kern w:val="2"/>
          <w:sz w:val="32"/>
          <w:szCs w:val="32"/>
          <w:lang w:val="en-US" w:eastAsia="zh-CN" w:bidi="ar-SA"/>
        </w:rPr>
        <w:t>成品药配置</w:t>
      </w:r>
      <w:r>
        <w:rPr>
          <w:rFonts w:hint="eastAsia" w:ascii="仿宋_GB2312" w:hAnsi="仿宋_GB2312" w:eastAsia="仿宋_GB2312" w:cs="仿宋_GB2312"/>
          <w:snapToGrid/>
          <w:kern w:val="2"/>
          <w:sz w:val="32"/>
          <w:szCs w:val="32"/>
          <w:lang w:val="zh-CN" w:eastAsia="zh-CN" w:bidi="ar-SA"/>
        </w:rPr>
        <w:t>、分拣等工作的自动化。提高用药的安全性、效率和准确性，</w:t>
      </w:r>
      <w:r>
        <w:rPr>
          <w:rFonts w:hint="eastAsia" w:ascii="仿宋_GB2312" w:hAnsi="仿宋_GB2312" w:eastAsia="仿宋_GB2312" w:cs="仿宋_GB2312"/>
          <w:snapToGrid/>
          <w:kern w:val="2"/>
          <w:sz w:val="32"/>
          <w:szCs w:val="32"/>
          <w:lang w:val="en-US" w:eastAsia="zh-CN" w:bidi="ar-SA"/>
        </w:rPr>
        <w:t>降低药师的劳动强度和职业危害，</w:t>
      </w:r>
      <w:r>
        <w:rPr>
          <w:rFonts w:hint="eastAsia" w:ascii="仿宋_GB2312" w:hAnsi="仿宋_GB2312" w:eastAsia="仿宋_GB2312" w:cs="仿宋_GB2312"/>
          <w:snapToGrid/>
          <w:kern w:val="2"/>
          <w:sz w:val="32"/>
          <w:szCs w:val="32"/>
          <w:lang w:val="zh-CN" w:eastAsia="zh-CN" w:bidi="ar-SA"/>
        </w:rPr>
        <w:t>从而提升医疗服务的整体质量和水平。</w:t>
      </w:r>
    </w:p>
    <w:p w14:paraId="03D072FE">
      <w:pPr>
        <w:pStyle w:val="3"/>
        <w:keepNext w:val="0"/>
        <w:keepLines w:val="0"/>
        <w:pageBreakBefore w:val="0"/>
        <w:widowControl w:val="0"/>
        <w:kinsoku/>
        <w:wordWrap/>
        <w:overflowPunct/>
        <w:topLinePunct w:val="0"/>
        <w:autoSpaceDE/>
        <w:autoSpaceDN/>
        <w:bidi w:val="0"/>
        <w:adjustRightInd/>
        <w:spacing w:before="0" w:after="0" w:afterAutospacing="0" w:line="560" w:lineRule="exact"/>
        <w:ind w:left="0" w:firstLine="643" w:firstLineChars="200"/>
        <w:textAlignment w:val="auto"/>
        <w:rPr>
          <w:rFonts w:hint="eastAsia" w:ascii="仿宋_GB2312" w:hAnsi="仿宋_GB2312" w:eastAsia="仿宋_GB2312" w:cs="仿宋_GB2312"/>
          <w:b/>
          <w:bCs/>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2.全院智慧物流服务机器人解决方案</w:t>
      </w:r>
    </w:p>
    <w:p w14:paraId="1DE8BCDB">
      <w:pPr>
        <w:pStyle w:val="3"/>
        <w:keepNext w:val="0"/>
        <w:keepLines w:val="0"/>
        <w:pageBreakBefore w:val="0"/>
        <w:widowControl w:val="0"/>
        <w:kinsoku/>
        <w:wordWrap/>
        <w:overflowPunct/>
        <w:topLinePunct w:val="0"/>
        <w:autoSpaceDE/>
        <w:autoSpaceDN/>
        <w:bidi w:val="0"/>
        <w:adjustRightInd/>
        <w:spacing w:before="0" w:after="0" w:afterAutospacing="0" w:line="560" w:lineRule="exact"/>
        <w:ind w:left="0" w:firstLine="640" w:firstLineChars="200"/>
        <w:textAlignment w:val="auto"/>
        <w:rPr>
          <w:rFonts w:hint="eastAsia" w:ascii="仿宋_GB2312" w:hAnsi="仿宋_GB2312" w:eastAsia="仿宋_GB2312" w:cs="仿宋_GB2312"/>
          <w:snapToGrid/>
          <w:kern w:val="2"/>
          <w:sz w:val="32"/>
          <w:szCs w:val="32"/>
          <w:lang w:val="en-US" w:eastAsia="zh-CN" w:bidi="ar-SA"/>
        </w:rPr>
      </w:pPr>
      <w:r>
        <w:rPr>
          <w:rFonts w:hint="eastAsia" w:ascii="仿宋_GB2312" w:hAnsi="仿宋_GB2312" w:eastAsia="仿宋_GB2312" w:cs="仿宋_GB2312"/>
          <w:snapToGrid/>
          <w:kern w:val="2"/>
          <w:sz w:val="32"/>
          <w:szCs w:val="32"/>
          <w:lang w:val="en-US" w:eastAsia="zh-CN" w:bidi="ar-SA"/>
        </w:rPr>
        <w:t>新华医疗全院智慧物流服务机器人解决方案以智慧调度系统为核心，对客户端、任务端、机器人等进行统一管理，建立智慧化“供应-配送-使用-回收”全流程闭环物流管理平台。通过智慧调度系统建立全院物流信息管理数据库，实现对全院物流系统客观、高精度、高时效性管理。实现医院物资物流配送的信息化、数字化、智慧化全流程智能管理，优化和规范医疗物资管理的流程，进一步提升医院物资配送和科室运行效率，有效降低人工成本。涉及产品有：箱型物流机器人、轻型发放机器人、顶升转运物流机器人、导诊/测温服务机器人。</w:t>
      </w:r>
    </w:p>
    <w:p w14:paraId="103F55C0">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560" w:lineRule="exact"/>
        <w:ind w:left="0" w:firstLine="643" w:firstLineChars="200"/>
        <w:textAlignment w:val="auto"/>
        <w:rPr>
          <w:rFonts w:hint="eastAsia" w:ascii="仿宋_GB2312" w:hAnsi="仿宋_GB2312" w:eastAsia="仿宋_GB2312" w:cs="仿宋_GB2312"/>
          <w:b/>
          <w:bCs/>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3.立式灭菌器</w:t>
      </w:r>
    </w:p>
    <w:p w14:paraId="3F8B214D">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napToGrid/>
          <w:kern w:val="2"/>
          <w:sz w:val="32"/>
          <w:szCs w:val="32"/>
          <w:lang w:val="en-US" w:eastAsia="zh-CN" w:bidi="ar-SA"/>
        </w:rPr>
      </w:pPr>
      <w:r>
        <w:rPr>
          <w:rFonts w:hint="eastAsia" w:ascii="仿宋_GB2312" w:hAnsi="仿宋_GB2312" w:eastAsia="仿宋_GB2312" w:cs="仿宋_GB2312"/>
          <w:snapToGrid/>
          <w:kern w:val="2"/>
          <w:sz w:val="32"/>
          <w:szCs w:val="32"/>
          <w:lang w:val="en-US" w:eastAsia="zh-CN" w:bidi="ar-SA"/>
        </w:rPr>
        <w:t>立式灭菌器主要应用于实验室，对实验室器具器皿、培养基、废弃物等的灭菌，应用场景主要有医疗结构检验实验、生物实验室（生物公司、高校等）、药厂生产或检验工位、食品行业生产或检验工位。新华医疗立式灭菌器分为普及型（T/EP系列，容积为50L-150L）和顶开门型（MOST-L系列65L-150L）。</w:t>
      </w:r>
    </w:p>
    <w:p w14:paraId="5CD1CD07">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560" w:lineRule="exact"/>
        <w:ind w:left="0" w:firstLine="643" w:firstLineChars="200"/>
        <w:textAlignment w:val="auto"/>
        <w:rPr>
          <w:rFonts w:hint="default" w:ascii="仿宋_GB2312" w:hAnsi="仿宋_GB2312" w:eastAsia="仿宋_GB2312" w:cs="仿宋_GB2312"/>
          <w:b/>
          <w:bCs/>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4.新华莎罗雅产品</w:t>
      </w:r>
    </w:p>
    <w:p w14:paraId="09AB9E82">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napToGrid/>
          <w:kern w:val="2"/>
          <w:sz w:val="32"/>
          <w:szCs w:val="32"/>
          <w:lang w:val="en-US" w:eastAsia="zh-CN" w:bidi="ar-SA"/>
        </w:rPr>
      </w:pPr>
      <w:r>
        <w:rPr>
          <w:rFonts w:hint="eastAsia" w:ascii="仿宋_GB2312" w:hAnsi="仿宋_GB2312" w:eastAsia="仿宋_GB2312" w:cs="仿宋_GB2312"/>
          <w:snapToGrid/>
          <w:kern w:val="2"/>
          <w:sz w:val="32"/>
          <w:szCs w:val="32"/>
          <w:lang w:val="en-US" w:eastAsia="zh-CN" w:bidi="ar-SA"/>
        </w:rPr>
        <w:t>为拓展市场并实现合作共赢，新华莎罗雅品牌招募线上分销合作伙伴，销售便座消毒液宠物洗护和零食产品。</w:t>
      </w:r>
    </w:p>
    <w:p w14:paraId="4C0AC131">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napToGrid/>
          <w:kern w:val="2"/>
          <w:sz w:val="32"/>
          <w:szCs w:val="32"/>
          <w:lang w:val="en-US" w:eastAsia="zh-CN" w:bidi="ar-SA"/>
        </w:rPr>
      </w:pPr>
      <w:r>
        <w:rPr>
          <w:rFonts w:hint="eastAsia" w:ascii="仿宋_GB2312" w:hAnsi="仿宋_GB2312" w:eastAsia="仿宋_GB2312" w:cs="仿宋_GB2312"/>
          <w:snapToGrid/>
          <w:kern w:val="2"/>
          <w:sz w:val="32"/>
          <w:szCs w:val="32"/>
          <w:lang w:val="en-US" w:eastAsia="zh-CN" w:bidi="ar-SA"/>
        </w:rPr>
        <w:t>阶梯激励:根据分销合作伙伴的实际业务规模、渠道影响力及销售业绩，动态评估并阶梯式提升佣金比例。</w:t>
      </w:r>
    </w:p>
    <w:p w14:paraId="07D52003">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napToGrid/>
          <w:kern w:val="2"/>
          <w:sz w:val="32"/>
          <w:szCs w:val="32"/>
          <w:lang w:val="en-US" w:eastAsia="zh-CN" w:bidi="ar-SA"/>
        </w:rPr>
      </w:pPr>
      <w:r>
        <w:rPr>
          <w:rFonts w:hint="eastAsia" w:ascii="仿宋_GB2312" w:hAnsi="仿宋_GB2312" w:eastAsia="仿宋_GB2312" w:cs="仿宋_GB2312"/>
          <w:snapToGrid/>
          <w:kern w:val="2"/>
          <w:sz w:val="32"/>
          <w:szCs w:val="32"/>
          <w:lang w:val="en-US" w:eastAsia="zh-CN" w:bidi="ar-SA"/>
        </w:rPr>
        <w:t>品牌全方位赋能支持:致力于为合作伙伴的成功保驾护航，将提供体系化的赋能支持。</w:t>
      </w:r>
    </w:p>
    <w:p w14:paraId="4FD9D55C">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napToGrid/>
          <w:kern w:val="2"/>
          <w:sz w:val="32"/>
          <w:szCs w:val="32"/>
          <w:lang w:val="en-US" w:eastAsia="zh-CN" w:bidi="ar-SA"/>
        </w:rPr>
      </w:pPr>
      <w:r>
        <w:rPr>
          <w:rFonts w:hint="eastAsia" w:ascii="仿宋_GB2312" w:hAnsi="仿宋_GB2312" w:eastAsia="仿宋_GB2312" w:cs="仿宋_GB2312"/>
          <w:snapToGrid/>
          <w:kern w:val="2"/>
          <w:sz w:val="32"/>
          <w:szCs w:val="32"/>
          <w:lang w:val="en-US" w:eastAsia="zh-CN" w:bidi="ar-SA"/>
        </w:rPr>
        <w:t>品牌授权与信誉背书：专业的产品知识及市场培训全套营销素材与内容支持联合市场活动与流量扶持。</w:t>
      </w:r>
    </w:p>
    <w:p w14:paraId="767A92DC">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napToGrid/>
          <w:kern w:val="2"/>
          <w:sz w:val="32"/>
          <w:szCs w:val="32"/>
          <w:lang w:val="en-US" w:eastAsia="zh-CN" w:bidi="ar-SA"/>
        </w:rPr>
      </w:pPr>
      <w:r>
        <w:rPr>
          <w:rFonts w:hint="eastAsia" w:ascii="仿宋_GB2312" w:hAnsi="仿宋_GB2312" w:eastAsia="仿宋_GB2312" w:cs="仿宋_GB2312"/>
          <w:snapToGrid/>
          <w:kern w:val="2"/>
          <w:sz w:val="32"/>
          <w:szCs w:val="32"/>
          <w:lang w:val="en-US" w:eastAsia="zh-CN" w:bidi="ar-SA"/>
        </w:rPr>
        <w:t>期待与具备合法经营资质、拥有稳定线上销售渠道(包括但不限于电商平台、社交媒体、私域社群等)并致力于在宠物行业长期发展的诚信伙伴建立合作。</w:t>
      </w:r>
    </w:p>
    <w:p w14:paraId="291628EE">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560" w:lineRule="exact"/>
        <w:ind w:left="0" w:firstLine="643" w:firstLineChars="200"/>
        <w:textAlignment w:val="auto"/>
        <w:rPr>
          <w:rFonts w:hint="eastAsia" w:ascii="仿宋_GB2312" w:hAnsi="仿宋_GB2312" w:eastAsia="仿宋_GB2312" w:cs="仿宋_GB2312"/>
          <w:b/>
          <w:bCs/>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5.血液透析相关产品</w:t>
      </w:r>
    </w:p>
    <w:p w14:paraId="46747869">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560" w:lineRule="exact"/>
        <w:ind w:left="0" w:firstLine="640" w:firstLineChars="200"/>
        <w:textAlignment w:val="auto"/>
        <w:rPr>
          <w:rFonts w:hint="eastAsia" w:ascii="仿宋_GB2312" w:hAnsi="仿宋_GB2312" w:eastAsia="仿宋_GB2312" w:cs="仿宋_GB2312"/>
          <w:b w:val="0"/>
          <w:bCs w:val="0"/>
          <w:snapToGrid/>
          <w:kern w:val="2"/>
          <w:sz w:val="32"/>
          <w:szCs w:val="32"/>
          <w:lang w:val="en-US" w:eastAsia="zh-CN" w:bidi="ar-SA"/>
        </w:rPr>
      </w:pPr>
      <w:r>
        <w:rPr>
          <w:rFonts w:hint="eastAsia" w:ascii="仿宋_GB2312" w:hAnsi="仿宋_GB2312" w:eastAsia="仿宋_GB2312" w:cs="仿宋_GB2312"/>
          <w:b w:val="0"/>
          <w:bCs w:val="0"/>
          <w:snapToGrid/>
          <w:kern w:val="2"/>
          <w:sz w:val="32"/>
          <w:szCs w:val="32"/>
          <w:lang w:val="en-US" w:eastAsia="zh-CN" w:bidi="ar-SA"/>
        </w:rPr>
        <w:t>血液透析器、血液透析滤过器、一次性使用血液透析管路、血液透析用水处理设备、透析机用柠檬酸消毒液。</w:t>
      </w:r>
    </w:p>
    <w:p w14:paraId="24B8A45E">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napToGrid/>
          <w:kern w:val="2"/>
          <w:sz w:val="32"/>
          <w:szCs w:val="32"/>
          <w:lang w:val="en-US" w:eastAsia="zh-CN" w:bidi="ar-SA"/>
        </w:rPr>
      </w:pPr>
      <w:r>
        <w:rPr>
          <w:rFonts w:hint="eastAsia" w:ascii="仿宋_GB2312" w:hAnsi="仿宋_GB2312" w:eastAsia="仿宋_GB2312" w:cs="仿宋_GB2312"/>
          <w:snapToGrid/>
          <w:kern w:val="2"/>
          <w:sz w:val="32"/>
          <w:szCs w:val="32"/>
          <w:lang w:val="en-US" w:eastAsia="zh-CN" w:bidi="ar-SA"/>
        </w:rPr>
        <w:t>以上产品主要应用于医疗机构的血液透析室，为患者提供血液透析所需要的耗材及配套设备。</w:t>
      </w:r>
    </w:p>
    <w:p w14:paraId="4A35E037">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textAlignment w:val="auto"/>
        <w:rPr>
          <w:rFonts w:hint="eastAsia" w:ascii="宋体" w:hAnsi="宋体" w:eastAsia="宋体" w:cs="宋体"/>
          <w:b w:val="0"/>
          <w:bCs w:val="0"/>
          <w:sz w:val="24"/>
          <w:szCs w:val="24"/>
          <w:lang w:val="en-US" w:eastAsia="zh-CN"/>
        </w:rPr>
      </w:pPr>
      <w:r>
        <w:rPr>
          <w:rFonts w:hint="eastAsia" w:ascii="仿宋_GB2312" w:hAnsi="仿宋_GB2312" w:eastAsia="仿宋_GB2312" w:cs="仿宋_GB2312"/>
          <w:snapToGrid/>
          <w:kern w:val="2"/>
          <w:sz w:val="32"/>
          <w:szCs w:val="32"/>
          <w:lang w:val="en-US" w:eastAsia="zh-CN" w:bidi="ar-SA"/>
        </w:rPr>
        <w:t>新华医疗从2015年正式进入血液净化领域，已实现从医疗服务到透析耗材及设备的研发、生产的延伸和布局；2015年从德国引进了全套透析器生产线，制造工艺和质量保证均为国际前列。自主研发的血液透析机，在人机交互性能和产品稳定性方面更加优越。未来将不断完善产品线体系，优化产品质量，打造优质的国产透析品牌。</w:t>
      </w:r>
    </w:p>
    <w:p w14:paraId="1A3A09CB">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560" w:lineRule="exact"/>
        <w:ind w:left="0" w:firstLine="643" w:firstLineChars="200"/>
        <w:textAlignment w:val="auto"/>
        <w:rPr>
          <w:rFonts w:hint="eastAsia" w:ascii="仿宋_GB2312" w:hAnsi="仿宋_GB2312" w:eastAsia="仿宋_GB2312" w:cs="仿宋_GB2312"/>
          <w:b/>
          <w:bCs/>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6.柯尔曼高端手术器械推广与代理</w:t>
      </w:r>
    </w:p>
    <w:p w14:paraId="3E5652C5">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firstLine="640" w:firstLineChars="200"/>
        <w:textAlignment w:val="auto"/>
        <w:rPr>
          <w:rFonts w:hint="eastAsia" w:ascii="仿宋_GB2312" w:hAnsi="仿宋_GB2312" w:eastAsia="仿宋_GB2312" w:cs="仿宋_GB2312"/>
          <w:snapToGrid/>
          <w:kern w:val="2"/>
          <w:sz w:val="32"/>
          <w:szCs w:val="32"/>
          <w:lang w:val="en-US" w:eastAsia="zh-CN" w:bidi="ar-SA"/>
        </w:rPr>
      </w:pPr>
      <w:r>
        <w:rPr>
          <w:rFonts w:hint="eastAsia" w:ascii="仿宋_GB2312" w:hAnsi="仿宋_GB2312" w:eastAsia="仿宋_GB2312" w:cs="仿宋_GB2312"/>
          <w:snapToGrid/>
          <w:kern w:val="2"/>
          <w:sz w:val="32"/>
          <w:szCs w:val="32"/>
          <w:lang w:val="en-US" w:eastAsia="zh-CN" w:bidi="ar-SA"/>
        </w:rPr>
        <w:t>柯尔曼器械是我公司在德国收购的进口品牌，在高端手术器械领域有核心竞争力，搭配新华的销售与生产平台，实现高端手术工具的全部配包，比如心脏外科、神经外科等高难度手术科室的业务需求。厂家可提供手术器械技术支持，配合临床看样、产品讲解等服务。</w:t>
      </w:r>
    </w:p>
    <w:p w14:paraId="363E35F2">
      <w:pPr>
        <w:pStyle w:val="3"/>
        <w:keepNext w:val="0"/>
        <w:keepLines w:val="0"/>
        <w:pageBreakBefore w:val="0"/>
        <w:widowControl w:val="0"/>
        <w:kinsoku/>
        <w:wordWrap/>
        <w:overflowPunct/>
        <w:topLinePunct w:val="0"/>
        <w:autoSpaceDE/>
        <w:autoSpaceDN/>
        <w:bidi w:val="0"/>
        <w:adjustRightInd/>
        <w:spacing w:before="0" w:after="0" w:afterAutospacing="0" w:line="560" w:lineRule="exact"/>
        <w:ind w:left="0" w:leftChars="0" w:firstLine="643" w:firstLineChars="200"/>
        <w:textAlignment w:val="auto"/>
        <w:rPr>
          <w:rFonts w:hint="eastAsia" w:ascii="仿宋_GB2312" w:hAnsi="仿宋_GB2312" w:eastAsia="仿宋_GB2312" w:cs="仿宋_GB2312"/>
          <w:b/>
          <w:bCs/>
          <w:snapToGrid/>
          <w:kern w:val="2"/>
          <w:sz w:val="32"/>
          <w:szCs w:val="32"/>
          <w:lang w:val="en-US" w:eastAsia="zh-CN" w:bidi="ar-SA"/>
        </w:rPr>
      </w:pPr>
      <w:r>
        <w:rPr>
          <w:rFonts w:hint="eastAsia" w:ascii="仿宋_GB2312" w:hAnsi="仿宋_GB2312" w:eastAsia="仿宋_GB2312" w:cs="仿宋_GB2312"/>
          <w:b/>
          <w:bCs/>
          <w:snapToGrid/>
          <w:kern w:val="2"/>
          <w:sz w:val="32"/>
          <w:szCs w:val="32"/>
          <w:lang w:val="en-US" w:eastAsia="zh-CN" w:bidi="ar-SA"/>
        </w:rPr>
        <w:t>7.新华小型家用医用分子筛制氧机</w:t>
      </w:r>
    </w:p>
    <w:p w14:paraId="5DAA84D7">
      <w:pPr>
        <w:pStyle w:val="3"/>
        <w:keepNext w:val="0"/>
        <w:keepLines w:val="0"/>
        <w:pageBreakBefore w:val="0"/>
        <w:widowControl w:val="0"/>
        <w:numPr>
          <w:ilvl w:val="0"/>
          <w:numId w:val="0"/>
        </w:numPr>
        <w:kinsoku/>
        <w:wordWrap/>
        <w:overflowPunct/>
        <w:topLinePunct w:val="0"/>
        <w:autoSpaceDE/>
        <w:autoSpaceDN/>
        <w:bidi w:val="0"/>
        <w:adjustRightInd/>
        <w:spacing w:before="0" w:after="0" w:afterAutospacing="0" w:line="560" w:lineRule="exact"/>
        <w:ind w:left="0" w:firstLine="640" w:firstLineChars="200"/>
        <w:textAlignment w:val="auto"/>
        <w:rPr>
          <w:rFonts w:hint="eastAsia" w:ascii="仿宋_GB2312" w:hAnsi="仿宋_GB2312" w:eastAsia="仿宋_GB2312" w:cs="仿宋_GB2312"/>
          <w:snapToGrid/>
          <w:kern w:val="2"/>
          <w:sz w:val="32"/>
          <w:szCs w:val="32"/>
          <w:lang w:val="en-US" w:eastAsia="zh-CN" w:bidi="ar-SA"/>
        </w:rPr>
      </w:pPr>
      <w:r>
        <w:rPr>
          <w:rFonts w:hint="eastAsia" w:ascii="仿宋_GB2312" w:hAnsi="仿宋_GB2312" w:eastAsia="仿宋_GB2312" w:cs="仿宋_GB2312"/>
          <w:snapToGrid/>
          <w:kern w:val="2"/>
          <w:sz w:val="32"/>
          <w:szCs w:val="32"/>
          <w:lang w:val="en-US" w:eastAsia="zh-CN" w:bidi="ar-SA"/>
        </w:rPr>
        <w:t>新华小型医用分子筛制氧机（型号：XH-ZY5W、XH-ZY6W，采用美国原装进口分子筛核心技术，基于分子筛吸附分离原理实现氧气制备，适用于有老人、儿童等氧疗需求的家庭场景，可满足日常氧疗及雾化需求，辅助提升家庭氧疗便捷性与安全性；具有多重核心优势：医用级氧气浓度稳定达 95%，保障氧疗效果；八层多维过滤系统，有效拦截污物颗粒，分离纯净氧气；五重降噪隔音设计，运行噪音低至 37dB，营造不扰睡眠的吸氧环境；支持触控、旋钮、遥控三种操作方式，搭配高清大屏与定时吸氧功能，老人易上手；一机双模式，兼具氧疗与雾化功能，适配多样需求；底部隐藏式出风口与简单易操作的过滤耗材更换设计，优化家用体验，单次开机还可实现 72 小时持续制氧，满足长时间用氧需求。</w:t>
      </w:r>
    </w:p>
    <w:p w14:paraId="43B35A92">
      <w:pPr>
        <w:keepNext w:val="0"/>
        <w:keepLines w:val="0"/>
        <w:pageBreakBefore w:val="0"/>
        <w:widowControl w:val="0"/>
        <w:numPr>
          <w:ilvl w:val="0"/>
          <w:numId w:val="0"/>
        </w:numPr>
        <w:kinsoku/>
        <w:wordWrap/>
        <w:overflowPunct/>
        <w:topLinePunct w:val="0"/>
        <w:autoSpaceDE/>
        <w:autoSpaceDN/>
        <w:bidi w:val="0"/>
        <w:adjustRightInd/>
        <w:spacing w:afterAutospacing="0" w:line="560" w:lineRule="exact"/>
        <w:ind w:left="0" w:leftChars="0"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kern w:val="2"/>
          <w:sz w:val="32"/>
          <w:szCs w:val="32"/>
          <w:lang w:val="en-US" w:eastAsia="zh-CN" w:bidi="ar-SA"/>
        </w:rPr>
        <w:t>（二）</w:t>
      </w:r>
      <w:r>
        <w:rPr>
          <w:rFonts w:hint="eastAsia" w:ascii="楷体_GB2312" w:hAnsi="楷体_GB2312" w:eastAsia="楷体_GB2312" w:cs="楷体_GB2312"/>
          <w:sz w:val="32"/>
          <w:szCs w:val="32"/>
          <w:lang w:val="en-US" w:eastAsia="zh-CN"/>
        </w:rPr>
        <w:t>直播及短视频拍摄需求</w:t>
      </w:r>
    </w:p>
    <w:p w14:paraId="0FAB3314">
      <w:pPr>
        <w:keepNext w:val="0"/>
        <w:keepLines w:val="0"/>
        <w:pageBreakBefore w:val="0"/>
        <w:widowControl w:val="0"/>
        <w:numPr>
          <w:ilvl w:val="0"/>
          <w:numId w:val="0"/>
        </w:numPr>
        <w:kinsoku/>
        <w:wordWrap/>
        <w:overflowPunct/>
        <w:topLinePunct w:val="0"/>
        <w:autoSpaceDE/>
        <w:autoSpaceDN/>
        <w:bidi w:val="0"/>
        <w:adjustRightInd/>
        <w:snapToGrid w:val="0"/>
        <w:spacing w:afterAutospacing="0" w:line="560" w:lineRule="exact"/>
        <w:ind w:left="0" w:firstLine="640" w:firstLineChars="200"/>
        <w:textAlignment w:val="auto"/>
        <w:rPr>
          <w:rFonts w:hint="default" w:ascii="仿宋_GB2312" w:hAnsi="仿宋_GB2312" w:eastAsia="仿宋_GB2312" w:cs="仿宋_GB2312"/>
          <w:b w:val="0"/>
          <w:bCs w:val="0"/>
          <w:color w:val="FF0000"/>
          <w:sz w:val="32"/>
          <w:szCs w:val="32"/>
          <w:lang w:val="en-US" w:eastAsia="zh-CN"/>
        </w:rPr>
      </w:pPr>
      <w:r>
        <w:rPr>
          <w:rFonts w:hint="eastAsia" w:ascii="仿宋_GB2312" w:hAnsi="仿宋_GB2312" w:eastAsia="仿宋_GB2312" w:cs="仿宋_GB2312"/>
          <w:snapToGrid/>
          <w:kern w:val="2"/>
          <w:sz w:val="32"/>
          <w:szCs w:val="32"/>
          <w:lang w:val="en-US" w:eastAsia="zh-CN" w:bidi="ar-SA"/>
        </w:rPr>
        <w:t>为加速新华莎罗雅宠物洗护项目的品牌数字化建设与市场影响力提升，现正式面向社会寻求优秀的内容创作与推广合作伙伴。我们诚邀具备专业实力与成功案例的直播代播公司、短视频内容制作公司及小红书KOC/KOL运营推广公司建立战略合作，通过专业的直播运营、高品质的短视频内容及精准的社交媒体种草，共同将新华莎罗雅打造为消费者信赖的宠物护理首选品牌。期待与各方精英团队携手，共拓宠物经济新蓝海。</w:t>
      </w:r>
    </w:p>
    <w:p w14:paraId="69823C35">
      <w:pPr>
        <w:pStyle w:val="3"/>
        <w:rPr>
          <w:rFonts w:hint="default"/>
          <w:lang w:val="en-US" w:eastAsia="zh-CN"/>
        </w:rPr>
        <w:sectPr>
          <w:pgSz w:w="11906" w:h="16838"/>
          <w:pgMar w:top="1440" w:right="1800" w:bottom="1440" w:left="1800" w:header="851" w:footer="992" w:gutter="0"/>
          <w:pgNumType w:fmt="numberInDash"/>
          <w:cols w:space="720" w:num="1"/>
          <w:docGrid w:type="lines" w:linePitch="312" w:charSpace="0"/>
        </w:sectPr>
      </w:pPr>
    </w:p>
    <w:p w14:paraId="52DB1589">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textAlignment w:val="auto"/>
        <w:rPr>
          <w:rFonts w:hint="default" w:ascii="Times New Roman" w:hAnsi="Times New Roman" w:eastAsia="仿宋_GB2312" w:cs="Times New Roman"/>
          <w:b/>
          <w:bCs/>
          <w:color w:val="auto"/>
          <w:sz w:val="32"/>
          <w:szCs w:val="32"/>
          <w:lang w:val="en-US" w:eastAsia="zh-CN"/>
        </w:rPr>
      </w:pPr>
      <w:r>
        <w:rPr>
          <w:rFonts w:hint="eastAsia" w:ascii="Times New Roman" w:hAnsi="Times New Roman" w:eastAsia="仿宋_GB2312" w:cs="Times New Roman"/>
          <w:b/>
          <w:bCs/>
          <w:color w:val="auto"/>
          <w:sz w:val="32"/>
          <w:szCs w:val="32"/>
          <w:lang w:val="en-US" w:eastAsia="zh-CN"/>
        </w:rPr>
        <w:t>附件3：</w:t>
      </w:r>
    </w:p>
    <w:p w14:paraId="7FCE1AC7">
      <w:pPr>
        <w:keepNext w:val="0"/>
        <w:keepLines w:val="0"/>
        <w:pageBreakBefore w:val="0"/>
        <w:kinsoku/>
        <w:wordWrap/>
        <w:overflowPunct/>
        <w:topLinePunct w:val="0"/>
        <w:autoSpaceDE/>
        <w:autoSpaceDN/>
        <w:bidi w:val="0"/>
        <w:spacing w:beforeAutospacing="0" w:afterAutospacing="0" w:line="560" w:lineRule="exact"/>
        <w:ind w:left="0" w:leftChars="0"/>
        <w:jc w:val="center"/>
        <w:rPr>
          <w:rFonts w:eastAsia="方正小标宋简体"/>
          <w:sz w:val="44"/>
          <w:szCs w:val="44"/>
        </w:rPr>
      </w:pPr>
      <w:r>
        <w:rPr>
          <w:rFonts w:eastAsia="方正小标宋简体"/>
          <w:sz w:val="44"/>
          <w:szCs w:val="44"/>
        </w:rPr>
        <w:t>XXXXXX公司简介</w:t>
      </w:r>
    </w:p>
    <w:p w14:paraId="6707E06D">
      <w:pPr>
        <w:keepNext w:val="0"/>
        <w:keepLines w:val="0"/>
        <w:pageBreakBefore w:val="0"/>
        <w:kinsoku/>
        <w:wordWrap/>
        <w:overflowPunct/>
        <w:topLinePunct w:val="0"/>
        <w:autoSpaceDE/>
        <w:autoSpaceDN/>
        <w:bidi w:val="0"/>
        <w:spacing w:beforeAutospacing="0" w:afterAutospacing="0" w:line="560" w:lineRule="exact"/>
        <w:ind w:left="0" w:leftChars="0"/>
        <w:jc w:val="center"/>
        <w:rPr>
          <w:rFonts w:eastAsia="方正小标宋简体"/>
          <w:sz w:val="44"/>
          <w:szCs w:val="44"/>
        </w:rPr>
      </w:pPr>
      <w:r>
        <w:rPr>
          <w:rFonts w:eastAsia="方正小标宋简体"/>
          <w:sz w:val="44"/>
          <w:szCs w:val="44"/>
        </w:rPr>
        <w:t>（</w:t>
      </w:r>
      <w:r>
        <w:rPr>
          <w:rFonts w:eastAsia="方正小标宋简体"/>
          <w:sz w:val="24"/>
        </w:rPr>
        <w:t>方正小标宋简体二号</w:t>
      </w:r>
      <w:r>
        <w:rPr>
          <w:rFonts w:eastAsia="方正小标宋简体"/>
          <w:sz w:val="44"/>
          <w:szCs w:val="44"/>
        </w:rPr>
        <w:t>）</w:t>
      </w:r>
    </w:p>
    <w:p w14:paraId="6BA0761C">
      <w:pPr>
        <w:pStyle w:val="3"/>
        <w:keepNext w:val="0"/>
        <w:keepLines w:val="0"/>
        <w:pageBreakBefore w:val="0"/>
        <w:kinsoku/>
        <w:wordWrap/>
        <w:overflowPunct/>
        <w:topLinePunct w:val="0"/>
        <w:autoSpaceDE/>
        <w:autoSpaceDN/>
        <w:bidi w:val="0"/>
        <w:spacing w:before="0" w:beforeAutospacing="0" w:afterAutospacing="0" w:line="560" w:lineRule="exact"/>
        <w:ind w:left="0" w:leftChars="0"/>
        <w:rPr>
          <w:rFonts w:ascii="Times New Roman" w:hAnsi="Times New Roman" w:eastAsia="方正小标宋简体"/>
          <w:sz w:val="44"/>
          <w:szCs w:val="44"/>
        </w:rPr>
      </w:pPr>
    </w:p>
    <w:p w14:paraId="117AA942">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rPr>
          <w:rFonts w:eastAsia="仿宋_GB2312"/>
          <w:sz w:val="32"/>
          <w:szCs w:val="32"/>
        </w:rPr>
      </w:pPr>
      <w:r>
        <w:rPr>
          <w:rFonts w:eastAsia="仿宋_GB2312"/>
          <w:sz w:val="32"/>
          <w:szCs w:val="32"/>
        </w:rPr>
        <w:t>企业基本情况（内容仿宋_GB2312，三号，下同）</w:t>
      </w:r>
    </w:p>
    <w:p w14:paraId="6177BB7B">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rPr>
          <w:rFonts w:eastAsia="仿宋_GB2312"/>
          <w:sz w:val="32"/>
          <w:szCs w:val="32"/>
        </w:rPr>
      </w:pPr>
    </w:p>
    <w:p w14:paraId="0CFF8C47">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rPr>
          <w:rFonts w:eastAsia="仿宋_GB2312"/>
          <w:sz w:val="32"/>
          <w:szCs w:val="32"/>
        </w:rPr>
      </w:pPr>
      <w:r>
        <w:rPr>
          <w:rFonts w:eastAsia="仿宋_GB2312"/>
          <w:sz w:val="32"/>
          <w:szCs w:val="32"/>
        </w:rPr>
        <w:t>主导产品介绍</w:t>
      </w:r>
    </w:p>
    <w:p w14:paraId="44E4B193">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rPr>
          <w:rFonts w:eastAsia="仿宋_GB2312"/>
          <w:sz w:val="32"/>
          <w:szCs w:val="32"/>
        </w:rPr>
      </w:pPr>
    </w:p>
    <w:p w14:paraId="5DD6B9A2">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rPr>
          <w:rFonts w:eastAsia="仿宋_GB2312"/>
          <w:sz w:val="32"/>
          <w:szCs w:val="32"/>
        </w:rPr>
      </w:pPr>
      <w:r>
        <w:rPr>
          <w:rFonts w:eastAsia="仿宋_GB2312"/>
          <w:sz w:val="32"/>
          <w:szCs w:val="32"/>
        </w:rPr>
        <w:t>其他，如发展规划等</w:t>
      </w:r>
    </w:p>
    <w:p w14:paraId="4F9DBEF2">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rPr>
          <w:rFonts w:eastAsia="仿宋_GB2312"/>
          <w:sz w:val="32"/>
          <w:szCs w:val="32"/>
        </w:rPr>
      </w:pPr>
    </w:p>
    <w:p w14:paraId="3799E1F3">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rPr>
          <w:rFonts w:eastAsia="仿宋_GB2312"/>
          <w:sz w:val="32"/>
          <w:szCs w:val="32"/>
        </w:rPr>
      </w:pPr>
      <w:r>
        <w:rPr>
          <w:rFonts w:eastAsia="仿宋_GB2312"/>
          <w:sz w:val="32"/>
          <w:szCs w:val="32"/>
        </w:rPr>
        <w:t>联系人及联系电话：XXX</w:t>
      </w:r>
      <w:r>
        <w:rPr>
          <w:rFonts w:hint="eastAsia" w:eastAsia="仿宋_GB2312"/>
          <w:sz w:val="32"/>
          <w:szCs w:val="32"/>
          <w:lang w:eastAsia="zh-CN"/>
        </w:rPr>
        <w:t>，</w:t>
      </w:r>
      <w:r>
        <w:rPr>
          <w:rFonts w:eastAsia="仿宋_GB2312"/>
          <w:sz w:val="32"/>
          <w:szCs w:val="32"/>
        </w:rPr>
        <w:t>XXXX。</w:t>
      </w:r>
    </w:p>
    <w:p w14:paraId="742B8107">
      <w:pPr>
        <w:pStyle w:val="7"/>
        <w:keepNext w:val="0"/>
        <w:keepLines w:val="0"/>
        <w:pageBreakBefore w:val="0"/>
        <w:kinsoku/>
        <w:wordWrap/>
        <w:overflowPunct/>
        <w:topLinePunct w:val="0"/>
        <w:autoSpaceDE/>
        <w:autoSpaceDN/>
        <w:bidi w:val="0"/>
        <w:spacing w:beforeAutospacing="0" w:after="0" w:afterAutospacing="0" w:line="560" w:lineRule="exact"/>
        <w:ind w:left="0" w:leftChars="0"/>
      </w:pPr>
    </w:p>
    <w:p w14:paraId="237F155C">
      <w:pPr>
        <w:keepNext w:val="0"/>
        <w:keepLines w:val="0"/>
        <w:pageBreakBefore w:val="0"/>
        <w:kinsoku/>
        <w:wordWrap/>
        <w:overflowPunct/>
        <w:topLinePunct w:val="0"/>
        <w:autoSpaceDE/>
        <w:autoSpaceDN/>
        <w:bidi w:val="0"/>
        <w:spacing w:beforeAutospacing="0" w:afterAutospacing="0" w:line="560" w:lineRule="exact"/>
        <w:ind w:left="0" w:leftChars="0"/>
        <w:jc w:val="center"/>
        <w:rPr>
          <w:rFonts w:eastAsia="黑体"/>
          <w:sz w:val="32"/>
          <w:szCs w:val="32"/>
        </w:rPr>
      </w:pPr>
    </w:p>
    <w:p w14:paraId="486933D1">
      <w:pPr>
        <w:keepNext w:val="0"/>
        <w:keepLines w:val="0"/>
        <w:pageBreakBefore w:val="0"/>
        <w:kinsoku/>
        <w:wordWrap/>
        <w:overflowPunct/>
        <w:topLinePunct w:val="0"/>
        <w:autoSpaceDE/>
        <w:autoSpaceDN/>
        <w:bidi w:val="0"/>
        <w:spacing w:beforeAutospacing="0" w:afterAutospacing="0" w:line="560" w:lineRule="exact"/>
        <w:ind w:left="0" w:leftChars="0" w:firstLine="640" w:firstLineChars="200"/>
        <w:rPr>
          <w:rFonts w:eastAsia="仿宋_GB2312"/>
        </w:rPr>
      </w:pPr>
      <w:r>
        <w:rPr>
          <w:rFonts w:eastAsia="黑体"/>
          <w:sz w:val="32"/>
          <w:szCs w:val="32"/>
        </w:rPr>
        <w:t>页面要求：</w:t>
      </w:r>
      <w:r>
        <w:rPr>
          <w:rFonts w:eastAsia="仿宋_GB2312"/>
          <w:sz w:val="32"/>
          <w:szCs w:val="32"/>
        </w:rPr>
        <w:t>简介内容用1页A4纸概括。文本页面上下边距254毫米，左右边距317毫米，行间距为固定值28磅。阿拉伯数字用Times New Roman字体。</w:t>
      </w:r>
    </w:p>
    <w:p w14:paraId="266F7B2C">
      <w:pPr>
        <w:keepNext w:val="0"/>
        <w:keepLines w:val="0"/>
        <w:pageBreakBefore w:val="0"/>
        <w:widowControl w:val="0"/>
        <w:kinsoku/>
        <w:wordWrap/>
        <w:overflowPunct/>
        <w:topLinePunct w:val="0"/>
        <w:autoSpaceDE/>
        <w:autoSpaceDN/>
        <w:bidi w:val="0"/>
        <w:adjustRightInd/>
        <w:snapToGrid/>
        <w:spacing w:beforeAutospacing="0" w:afterAutospacing="0" w:line="560" w:lineRule="exact"/>
        <w:ind w:left="0" w:leftChars="0"/>
        <w:jc w:val="center"/>
        <w:textAlignment w:val="auto"/>
        <w:rPr>
          <w:rFonts w:hint="eastAsia" w:ascii="方正小标宋简体" w:hAnsi="方正小标宋简体" w:eastAsia="方正小标宋简体" w:cs="方正小标宋简体"/>
          <w:sz w:val="44"/>
          <w:szCs w:val="44"/>
        </w:rPr>
        <w:sectPr>
          <w:pgSz w:w="11906" w:h="16838"/>
          <w:pgMar w:top="1440" w:right="1800" w:bottom="1440" w:left="1800" w:header="851" w:footer="992" w:gutter="0"/>
          <w:cols w:space="720" w:num="1"/>
          <w:docGrid w:type="lines" w:linePitch="312" w:charSpace="0"/>
        </w:sectPr>
      </w:pPr>
    </w:p>
    <w:p w14:paraId="19796629">
      <w:pPr>
        <w:keepNext w:val="0"/>
        <w:keepLines w:val="0"/>
        <w:pageBreakBefore w:val="0"/>
        <w:kinsoku/>
        <w:wordWrap/>
        <w:overflowPunct/>
        <w:topLinePunct w:val="0"/>
        <w:autoSpaceDE/>
        <w:autoSpaceDN/>
        <w:bidi w:val="0"/>
        <w:spacing w:beforeAutospacing="0" w:afterAutospacing="0" w:line="560" w:lineRule="exact"/>
        <w:ind w:left="0" w:leftChars="0"/>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b/>
          <w:bCs/>
          <w:color w:val="auto"/>
          <w:sz w:val="32"/>
          <w:szCs w:val="32"/>
          <w:lang w:val="en-US" w:eastAsia="zh-CN"/>
        </w:rPr>
        <w:t>附件</w:t>
      </w:r>
      <w:r>
        <w:rPr>
          <w:rFonts w:hint="eastAsia" w:ascii="Times New Roman" w:hAnsi="Times New Roman" w:eastAsia="仿宋_GB2312" w:cs="Times New Roman"/>
          <w:b/>
          <w:bCs/>
          <w:color w:val="auto"/>
          <w:sz w:val="32"/>
          <w:szCs w:val="32"/>
          <w:lang w:val="en-US" w:eastAsia="zh-CN"/>
        </w:rPr>
        <w:t>4：</w:t>
      </w:r>
    </w:p>
    <w:p w14:paraId="70C59637">
      <w:pPr>
        <w:keepNext w:val="0"/>
        <w:keepLines w:val="0"/>
        <w:pageBreakBefore w:val="0"/>
        <w:kinsoku/>
        <w:wordWrap/>
        <w:overflowPunct/>
        <w:topLinePunct w:val="0"/>
        <w:autoSpaceDE/>
        <w:autoSpaceDN/>
        <w:bidi w:val="0"/>
        <w:spacing w:beforeAutospacing="0" w:afterAutospacing="0" w:line="560" w:lineRule="exact"/>
        <w:ind w:left="0" w:leftChars="0"/>
        <w:jc w:val="center"/>
        <w:rPr>
          <w:rFonts w:hint="default" w:ascii="Times New Roman" w:hAnsi="Times New Roman" w:eastAsia="方正小标宋简体" w:cs="Times New Roman"/>
          <w:color w:val="auto"/>
          <w:sz w:val="36"/>
          <w:szCs w:val="36"/>
        </w:rPr>
      </w:pPr>
      <w:r>
        <w:rPr>
          <w:rFonts w:hint="default" w:ascii="Times New Roman" w:hAnsi="Times New Roman" w:eastAsia="方正小标宋简体" w:cs="Times New Roman"/>
          <w:color w:val="auto"/>
          <w:sz w:val="36"/>
          <w:szCs w:val="36"/>
        </w:rPr>
        <w:t>各市推荐的报名企业名单</w:t>
      </w:r>
    </w:p>
    <w:tbl>
      <w:tblPr>
        <w:tblStyle w:val="8"/>
        <w:tblW w:w="5337" w:type="pct"/>
        <w:tblInd w:w="-3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717"/>
        <w:gridCol w:w="1791"/>
        <w:gridCol w:w="981"/>
        <w:gridCol w:w="1141"/>
        <w:gridCol w:w="1281"/>
        <w:gridCol w:w="1123"/>
        <w:gridCol w:w="1158"/>
        <w:gridCol w:w="1266"/>
        <w:gridCol w:w="2337"/>
        <w:gridCol w:w="1437"/>
        <w:gridCol w:w="1232"/>
      </w:tblGrid>
      <w:tr w14:paraId="5B723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9" w:hRule="atLeast"/>
        </w:trPr>
        <w:tc>
          <w:tcPr>
            <w:tcW w:w="219" w:type="pct"/>
            <w:tcBorders>
              <w:top w:val="single" w:color="auto" w:sz="4" w:space="0"/>
              <w:left w:val="single" w:color="auto" w:sz="4" w:space="0"/>
              <w:right w:val="single" w:color="auto" w:sz="4" w:space="0"/>
            </w:tcBorders>
            <w:noWrap w:val="0"/>
            <w:vAlign w:val="center"/>
          </w:tcPr>
          <w:p w14:paraId="1B429EB4">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sz w:val="24"/>
              </w:rPr>
            </w:pPr>
            <w:r>
              <w:rPr>
                <w:rFonts w:hint="default" w:ascii="Times New Roman" w:hAnsi="Times New Roman" w:cs="Times New Roman"/>
                <w:b/>
                <w:bCs/>
                <w:color w:val="auto"/>
                <w:kern w:val="0"/>
                <w:sz w:val="24"/>
                <w:lang w:bidi="ar"/>
              </w:rPr>
              <w:t>序号</w:t>
            </w:r>
          </w:p>
        </w:tc>
        <w:tc>
          <w:tcPr>
            <w:tcW w:w="236" w:type="pct"/>
            <w:tcBorders>
              <w:top w:val="single" w:color="auto" w:sz="4" w:space="0"/>
              <w:left w:val="single" w:color="auto" w:sz="4" w:space="0"/>
              <w:right w:val="single" w:color="auto" w:sz="4" w:space="0"/>
            </w:tcBorders>
            <w:noWrap w:val="0"/>
            <w:vAlign w:val="center"/>
          </w:tcPr>
          <w:p w14:paraId="2940C217">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sz w:val="24"/>
              </w:rPr>
            </w:pPr>
            <w:r>
              <w:rPr>
                <w:rFonts w:hint="default" w:ascii="Times New Roman" w:hAnsi="Times New Roman" w:cs="Times New Roman"/>
                <w:b/>
                <w:bCs/>
                <w:color w:val="auto"/>
                <w:kern w:val="0"/>
                <w:sz w:val="24"/>
                <w:lang w:bidi="ar"/>
              </w:rPr>
              <w:t>市</w:t>
            </w:r>
          </w:p>
        </w:tc>
        <w:tc>
          <w:tcPr>
            <w:tcW w:w="591" w:type="pct"/>
            <w:tcBorders>
              <w:top w:val="single" w:color="auto" w:sz="4" w:space="0"/>
              <w:left w:val="single" w:color="auto" w:sz="4" w:space="0"/>
              <w:right w:val="single" w:color="auto" w:sz="4" w:space="0"/>
            </w:tcBorders>
            <w:noWrap w:val="0"/>
            <w:vAlign w:val="center"/>
          </w:tcPr>
          <w:p w14:paraId="55872562">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kern w:val="0"/>
                <w:sz w:val="24"/>
                <w:lang w:bidi="ar"/>
              </w:rPr>
            </w:pPr>
            <w:r>
              <w:rPr>
                <w:rFonts w:hint="default" w:ascii="Times New Roman" w:hAnsi="Times New Roman" w:cs="Times New Roman"/>
                <w:b/>
                <w:bCs/>
                <w:color w:val="auto"/>
                <w:kern w:val="0"/>
                <w:sz w:val="24"/>
                <w:lang w:bidi="ar"/>
              </w:rPr>
              <w:t>企业</w:t>
            </w:r>
          </w:p>
          <w:p w14:paraId="0AD2192C">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sz w:val="24"/>
              </w:rPr>
            </w:pPr>
            <w:r>
              <w:rPr>
                <w:rFonts w:hint="default" w:ascii="Times New Roman" w:hAnsi="Times New Roman" w:cs="Times New Roman"/>
                <w:b/>
                <w:bCs/>
                <w:color w:val="auto"/>
                <w:kern w:val="0"/>
                <w:sz w:val="24"/>
                <w:lang w:bidi="ar"/>
              </w:rPr>
              <w:t>名称</w:t>
            </w:r>
          </w:p>
        </w:tc>
        <w:tc>
          <w:tcPr>
            <w:tcW w:w="324" w:type="pct"/>
            <w:tcBorders>
              <w:top w:val="single" w:color="auto" w:sz="4" w:space="0"/>
              <w:left w:val="single" w:color="auto" w:sz="4" w:space="0"/>
              <w:right w:val="single" w:color="auto" w:sz="4" w:space="0"/>
            </w:tcBorders>
            <w:noWrap w:val="0"/>
            <w:vAlign w:val="center"/>
          </w:tcPr>
          <w:p w14:paraId="2B8BBB63">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kern w:val="0"/>
                <w:sz w:val="24"/>
                <w:lang w:val="en-US" w:eastAsia="zh-CN" w:bidi="ar"/>
              </w:rPr>
            </w:pPr>
            <w:r>
              <w:rPr>
                <w:rFonts w:hint="default" w:ascii="Times New Roman" w:hAnsi="Times New Roman" w:cs="Times New Roman"/>
                <w:b/>
                <w:bCs/>
                <w:color w:val="auto"/>
                <w:kern w:val="0"/>
                <w:sz w:val="24"/>
                <w:lang w:val="en-US" w:eastAsia="zh-CN" w:bidi="ar"/>
              </w:rPr>
              <w:t>参会</w:t>
            </w:r>
          </w:p>
          <w:p w14:paraId="4D5C4E00">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kern w:val="0"/>
                <w:sz w:val="24"/>
                <w:lang w:val="en-US" w:eastAsia="zh-CN" w:bidi="ar"/>
              </w:rPr>
              <w:t>人员</w:t>
            </w:r>
          </w:p>
        </w:tc>
        <w:tc>
          <w:tcPr>
            <w:tcW w:w="377" w:type="pct"/>
            <w:tcBorders>
              <w:top w:val="single" w:color="auto" w:sz="4" w:space="0"/>
              <w:left w:val="single" w:color="auto" w:sz="4" w:space="0"/>
              <w:right w:val="single" w:color="auto" w:sz="4" w:space="0"/>
            </w:tcBorders>
            <w:noWrap w:val="0"/>
            <w:vAlign w:val="center"/>
          </w:tcPr>
          <w:p w14:paraId="40D0A4B7">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kern w:val="0"/>
                <w:sz w:val="24"/>
                <w:lang w:bidi="ar"/>
              </w:rPr>
            </w:pPr>
            <w:r>
              <w:rPr>
                <w:rFonts w:hint="default" w:ascii="Times New Roman" w:hAnsi="Times New Roman" w:cs="Times New Roman"/>
                <w:b/>
                <w:bCs/>
                <w:color w:val="auto"/>
                <w:kern w:val="0"/>
                <w:sz w:val="24"/>
                <w:lang w:bidi="ar"/>
              </w:rPr>
              <w:t>联系</w:t>
            </w:r>
          </w:p>
          <w:p w14:paraId="0D780A3F">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sz w:val="24"/>
              </w:rPr>
            </w:pPr>
            <w:r>
              <w:rPr>
                <w:rFonts w:hint="default" w:ascii="Times New Roman" w:hAnsi="Times New Roman" w:cs="Times New Roman"/>
                <w:b/>
                <w:bCs/>
                <w:color w:val="auto"/>
                <w:kern w:val="0"/>
                <w:sz w:val="24"/>
                <w:lang w:bidi="ar"/>
              </w:rPr>
              <w:t>方式</w:t>
            </w:r>
          </w:p>
        </w:tc>
        <w:tc>
          <w:tcPr>
            <w:tcW w:w="423" w:type="pct"/>
            <w:tcBorders>
              <w:top w:val="single" w:color="auto" w:sz="4" w:space="0"/>
              <w:left w:val="single" w:color="auto" w:sz="4" w:space="0"/>
              <w:right w:val="single" w:color="auto" w:sz="4" w:space="0"/>
            </w:tcBorders>
            <w:noWrap w:val="0"/>
            <w:vAlign w:val="center"/>
          </w:tcPr>
          <w:p w14:paraId="00E2334F">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sz w:val="24"/>
              </w:rPr>
            </w:pPr>
            <w:r>
              <w:rPr>
                <w:rFonts w:hint="default" w:ascii="Times New Roman" w:hAnsi="Times New Roman" w:cs="Times New Roman"/>
                <w:b/>
                <w:bCs/>
                <w:color w:val="auto"/>
                <w:kern w:val="0"/>
                <w:sz w:val="24"/>
                <w:lang w:bidi="ar"/>
              </w:rPr>
              <w:t>主导产品名称</w:t>
            </w:r>
          </w:p>
        </w:tc>
        <w:tc>
          <w:tcPr>
            <w:tcW w:w="371" w:type="pct"/>
            <w:tcBorders>
              <w:top w:val="single" w:color="auto" w:sz="4" w:space="0"/>
              <w:left w:val="single" w:color="auto" w:sz="4" w:space="0"/>
              <w:right w:val="single" w:color="auto" w:sz="4" w:space="0"/>
            </w:tcBorders>
            <w:noWrap w:val="0"/>
            <w:vAlign w:val="center"/>
          </w:tcPr>
          <w:p w14:paraId="7267BA17">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sz w:val="24"/>
              </w:rPr>
            </w:pPr>
            <w:r>
              <w:rPr>
                <w:rFonts w:hint="default" w:ascii="Times New Roman" w:hAnsi="Times New Roman" w:cs="Times New Roman"/>
                <w:b/>
                <w:bCs/>
                <w:color w:val="auto"/>
                <w:kern w:val="0"/>
                <w:sz w:val="24"/>
                <w:lang w:bidi="ar"/>
              </w:rPr>
              <w:t>是否参加路演</w:t>
            </w:r>
          </w:p>
        </w:tc>
        <w:tc>
          <w:tcPr>
            <w:tcW w:w="382" w:type="pct"/>
            <w:tcBorders>
              <w:top w:val="single" w:color="auto" w:sz="4" w:space="0"/>
              <w:left w:val="single" w:color="auto" w:sz="4" w:space="0"/>
              <w:right w:val="single" w:color="auto" w:sz="4" w:space="0"/>
            </w:tcBorders>
            <w:noWrap w:val="0"/>
            <w:vAlign w:val="center"/>
          </w:tcPr>
          <w:p w14:paraId="45AE81D0">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kern w:val="0"/>
                <w:sz w:val="24"/>
                <w:lang w:bidi="ar"/>
              </w:rPr>
            </w:pPr>
            <w:r>
              <w:rPr>
                <w:rFonts w:hint="default" w:ascii="Times New Roman" w:hAnsi="Times New Roman" w:cs="Times New Roman"/>
                <w:b/>
                <w:bCs/>
                <w:color w:val="auto"/>
                <w:kern w:val="0"/>
                <w:sz w:val="24"/>
                <w:lang w:bidi="ar"/>
              </w:rPr>
              <w:t>企业</w:t>
            </w:r>
          </w:p>
          <w:p w14:paraId="42BE7F7D">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sz w:val="24"/>
              </w:rPr>
            </w:pPr>
            <w:r>
              <w:rPr>
                <w:rFonts w:hint="default" w:ascii="Times New Roman" w:hAnsi="Times New Roman" w:cs="Times New Roman"/>
                <w:b/>
                <w:bCs/>
                <w:color w:val="auto"/>
                <w:kern w:val="0"/>
                <w:sz w:val="24"/>
                <w:lang w:bidi="ar"/>
              </w:rPr>
              <w:t>类型</w:t>
            </w:r>
          </w:p>
        </w:tc>
        <w:tc>
          <w:tcPr>
            <w:tcW w:w="418" w:type="pct"/>
            <w:tcBorders>
              <w:top w:val="single" w:color="auto" w:sz="4" w:space="0"/>
              <w:left w:val="single" w:color="auto" w:sz="4" w:space="0"/>
              <w:right w:val="single" w:color="auto" w:sz="4" w:space="0"/>
            </w:tcBorders>
            <w:noWrap w:val="0"/>
            <w:vAlign w:val="center"/>
          </w:tcPr>
          <w:p w14:paraId="1258ECCD">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sz w:val="24"/>
              </w:rPr>
            </w:pPr>
            <w:r>
              <w:rPr>
                <w:rFonts w:hint="default" w:ascii="Times New Roman" w:hAnsi="Times New Roman" w:cs="Times New Roman"/>
                <w:b/>
                <w:bCs/>
                <w:color w:val="auto"/>
                <w:kern w:val="0"/>
                <w:sz w:val="24"/>
                <w:lang w:bidi="ar"/>
              </w:rPr>
              <w:t>所属产业领域</w:t>
            </w:r>
          </w:p>
        </w:tc>
        <w:tc>
          <w:tcPr>
            <w:tcW w:w="772" w:type="pct"/>
            <w:tcBorders>
              <w:top w:val="single" w:color="auto" w:sz="4" w:space="0"/>
              <w:left w:val="single" w:color="auto" w:sz="4" w:space="0"/>
              <w:right w:val="single" w:color="auto" w:sz="4" w:space="0"/>
            </w:tcBorders>
            <w:noWrap w:val="0"/>
            <w:vAlign w:val="center"/>
          </w:tcPr>
          <w:p w14:paraId="3D34EDA6">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kern w:val="0"/>
                <w:sz w:val="24"/>
                <w:lang w:val="en-US" w:eastAsia="zh-CN" w:bidi="ar"/>
              </w:rPr>
              <w:t>希望与链主企业达成的合作意向</w:t>
            </w:r>
          </w:p>
        </w:tc>
        <w:tc>
          <w:tcPr>
            <w:tcW w:w="475" w:type="pct"/>
            <w:tcBorders>
              <w:top w:val="single" w:color="auto" w:sz="4" w:space="0"/>
              <w:left w:val="single" w:color="auto" w:sz="4" w:space="0"/>
              <w:right w:val="single" w:color="auto" w:sz="4" w:space="0"/>
            </w:tcBorders>
            <w:noWrap w:val="0"/>
            <w:vAlign w:val="center"/>
          </w:tcPr>
          <w:p w14:paraId="666AEAA9">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kern w:val="0"/>
                <w:sz w:val="24"/>
                <w:lang w:val="en-US" w:eastAsia="zh-CN" w:bidi="ar"/>
              </w:rPr>
            </w:pPr>
            <w:r>
              <w:rPr>
                <w:rFonts w:hint="default" w:ascii="Times New Roman" w:hAnsi="Times New Roman" w:cs="Times New Roman"/>
                <w:b/>
                <w:bCs/>
                <w:color w:val="auto"/>
                <w:kern w:val="0"/>
                <w:sz w:val="24"/>
                <w:lang w:val="en-US" w:eastAsia="zh-CN" w:bidi="ar"/>
              </w:rPr>
              <w:t>是否</w:t>
            </w:r>
          </w:p>
          <w:p w14:paraId="0FAB0DB2">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eastAsia="宋体" w:cs="Times New Roman"/>
                <w:b/>
                <w:bCs/>
                <w:color w:val="auto"/>
                <w:sz w:val="24"/>
                <w:lang w:val="en-US" w:eastAsia="zh-CN"/>
              </w:rPr>
            </w:pPr>
            <w:r>
              <w:rPr>
                <w:rFonts w:hint="default" w:ascii="Times New Roman" w:hAnsi="Times New Roman" w:cs="Times New Roman"/>
                <w:b/>
                <w:bCs/>
                <w:color w:val="auto"/>
                <w:kern w:val="0"/>
                <w:sz w:val="24"/>
                <w:lang w:val="en-US" w:eastAsia="zh-CN" w:bidi="ar"/>
              </w:rPr>
              <w:t>住宿</w:t>
            </w:r>
          </w:p>
        </w:tc>
        <w:tc>
          <w:tcPr>
            <w:tcW w:w="407" w:type="pct"/>
            <w:tcBorders>
              <w:top w:val="single" w:color="auto" w:sz="4" w:space="0"/>
              <w:left w:val="single" w:color="auto" w:sz="4" w:space="0"/>
              <w:right w:val="single" w:color="auto" w:sz="4" w:space="0"/>
            </w:tcBorders>
            <w:noWrap w:val="0"/>
            <w:vAlign w:val="center"/>
          </w:tcPr>
          <w:p w14:paraId="0013C3F8">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kern w:val="0"/>
                <w:sz w:val="24"/>
                <w:lang w:val="en-US" w:eastAsia="zh-CN" w:bidi="ar"/>
              </w:rPr>
            </w:pPr>
            <w:r>
              <w:rPr>
                <w:rFonts w:hint="default" w:ascii="Times New Roman" w:hAnsi="Times New Roman" w:cs="Times New Roman"/>
                <w:b/>
                <w:bCs/>
                <w:color w:val="auto"/>
                <w:kern w:val="0"/>
                <w:sz w:val="24"/>
                <w:lang w:val="en-US" w:eastAsia="zh-CN" w:bidi="ar"/>
              </w:rPr>
              <w:t>是否</w:t>
            </w:r>
          </w:p>
          <w:p w14:paraId="6D5EDE4B">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b/>
                <w:bCs/>
                <w:color w:val="auto"/>
                <w:kern w:val="0"/>
                <w:sz w:val="24"/>
                <w:lang w:val="en-US" w:eastAsia="zh-CN" w:bidi="ar"/>
              </w:rPr>
            </w:pPr>
            <w:r>
              <w:rPr>
                <w:rFonts w:hint="default" w:ascii="Times New Roman" w:hAnsi="Times New Roman" w:cs="Times New Roman"/>
                <w:b/>
                <w:bCs/>
                <w:color w:val="auto"/>
                <w:kern w:val="0"/>
                <w:sz w:val="24"/>
                <w:lang w:val="en-US" w:eastAsia="zh-CN" w:bidi="ar"/>
              </w:rPr>
              <w:t>参观</w:t>
            </w:r>
          </w:p>
        </w:tc>
      </w:tr>
      <w:tr w14:paraId="1937D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219" w:type="pct"/>
            <w:tcBorders>
              <w:top w:val="single" w:color="auto" w:sz="4" w:space="0"/>
            </w:tcBorders>
            <w:noWrap w:val="0"/>
            <w:vAlign w:val="center"/>
          </w:tcPr>
          <w:p w14:paraId="0AACD834">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236" w:type="pct"/>
            <w:tcBorders>
              <w:top w:val="single" w:color="auto" w:sz="4" w:space="0"/>
            </w:tcBorders>
            <w:noWrap w:val="0"/>
            <w:vAlign w:val="center"/>
          </w:tcPr>
          <w:p w14:paraId="5D1327A2">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591" w:type="pct"/>
            <w:tcBorders>
              <w:top w:val="single" w:color="auto" w:sz="4" w:space="0"/>
            </w:tcBorders>
            <w:noWrap w:val="0"/>
            <w:vAlign w:val="center"/>
          </w:tcPr>
          <w:p w14:paraId="4079FB79">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24" w:type="pct"/>
            <w:tcBorders>
              <w:top w:val="single" w:color="auto" w:sz="4" w:space="0"/>
            </w:tcBorders>
            <w:noWrap w:val="0"/>
            <w:vAlign w:val="center"/>
          </w:tcPr>
          <w:p w14:paraId="39400EC7">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77" w:type="pct"/>
            <w:tcBorders>
              <w:top w:val="single" w:color="auto" w:sz="4" w:space="0"/>
            </w:tcBorders>
            <w:noWrap w:val="0"/>
            <w:vAlign w:val="center"/>
          </w:tcPr>
          <w:p w14:paraId="0426228C">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423" w:type="pct"/>
            <w:tcBorders>
              <w:top w:val="single" w:color="auto" w:sz="4" w:space="0"/>
            </w:tcBorders>
            <w:noWrap w:val="0"/>
            <w:vAlign w:val="center"/>
          </w:tcPr>
          <w:p w14:paraId="4A9385CA">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71" w:type="pct"/>
            <w:tcBorders>
              <w:top w:val="single" w:color="auto" w:sz="4" w:space="0"/>
            </w:tcBorders>
            <w:noWrap w:val="0"/>
            <w:vAlign w:val="center"/>
          </w:tcPr>
          <w:p w14:paraId="28856D47">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82" w:type="pct"/>
            <w:tcBorders>
              <w:top w:val="single" w:color="auto" w:sz="4" w:space="0"/>
            </w:tcBorders>
            <w:noWrap w:val="0"/>
            <w:vAlign w:val="center"/>
          </w:tcPr>
          <w:p w14:paraId="2B7E61DD">
            <w:pPr>
              <w:keepNext w:val="0"/>
              <w:keepLines w:val="0"/>
              <w:pageBreakBefore w:val="0"/>
              <w:widowControl/>
              <w:kinsoku/>
              <w:wordWrap/>
              <w:overflowPunct/>
              <w:topLinePunct w:val="0"/>
              <w:autoSpaceDE/>
              <w:autoSpaceDN/>
              <w:bidi w:val="0"/>
              <w:spacing w:beforeAutospacing="0" w:afterAutospacing="0" w:line="560" w:lineRule="exact"/>
              <w:ind w:left="0" w:leftChars="0"/>
              <w:jc w:val="left"/>
              <w:textAlignment w:val="center"/>
              <w:rPr>
                <w:rFonts w:hint="default" w:ascii="Times New Roman" w:hAnsi="Times New Roman" w:cs="Times New Roman"/>
                <w:color w:val="auto"/>
                <w:sz w:val="24"/>
              </w:rPr>
            </w:pPr>
          </w:p>
        </w:tc>
        <w:tc>
          <w:tcPr>
            <w:tcW w:w="418" w:type="pct"/>
            <w:tcBorders>
              <w:top w:val="single" w:color="auto" w:sz="4" w:space="0"/>
            </w:tcBorders>
            <w:noWrap w:val="0"/>
            <w:vAlign w:val="center"/>
          </w:tcPr>
          <w:p w14:paraId="1E9A124C">
            <w:pPr>
              <w:keepNext w:val="0"/>
              <w:keepLines w:val="0"/>
              <w:pageBreakBefore w:val="0"/>
              <w:widowControl/>
              <w:kinsoku/>
              <w:wordWrap/>
              <w:overflowPunct/>
              <w:topLinePunct w:val="0"/>
              <w:autoSpaceDE/>
              <w:autoSpaceDN/>
              <w:bidi w:val="0"/>
              <w:spacing w:beforeAutospacing="0" w:afterAutospacing="0" w:line="560" w:lineRule="exact"/>
              <w:ind w:left="0" w:leftChars="0"/>
              <w:jc w:val="left"/>
              <w:textAlignment w:val="center"/>
              <w:rPr>
                <w:rFonts w:hint="default" w:ascii="Times New Roman" w:hAnsi="Times New Roman" w:cs="Times New Roman"/>
                <w:color w:val="auto"/>
                <w:sz w:val="24"/>
              </w:rPr>
            </w:pPr>
          </w:p>
        </w:tc>
        <w:tc>
          <w:tcPr>
            <w:tcW w:w="772" w:type="pct"/>
            <w:tcBorders>
              <w:top w:val="single" w:color="auto" w:sz="4" w:space="0"/>
            </w:tcBorders>
            <w:noWrap w:val="0"/>
            <w:vAlign w:val="center"/>
          </w:tcPr>
          <w:p w14:paraId="70E0954E">
            <w:pPr>
              <w:keepNext w:val="0"/>
              <w:keepLines w:val="0"/>
              <w:pageBreakBefore w:val="0"/>
              <w:widowControl/>
              <w:kinsoku/>
              <w:wordWrap/>
              <w:overflowPunct/>
              <w:topLinePunct w:val="0"/>
              <w:autoSpaceDE/>
              <w:autoSpaceDN/>
              <w:bidi w:val="0"/>
              <w:spacing w:beforeAutospacing="0" w:afterAutospacing="0" w:line="560" w:lineRule="exact"/>
              <w:ind w:left="0" w:leftChars="0"/>
              <w:jc w:val="left"/>
              <w:textAlignment w:val="center"/>
              <w:rPr>
                <w:rFonts w:hint="default" w:ascii="Times New Roman" w:hAnsi="Times New Roman" w:cs="Times New Roman"/>
                <w:color w:val="auto"/>
                <w:sz w:val="24"/>
              </w:rPr>
            </w:pPr>
          </w:p>
        </w:tc>
        <w:tc>
          <w:tcPr>
            <w:tcW w:w="475" w:type="pct"/>
            <w:tcBorders>
              <w:top w:val="single" w:color="auto" w:sz="4" w:space="0"/>
            </w:tcBorders>
            <w:noWrap w:val="0"/>
            <w:vAlign w:val="center"/>
          </w:tcPr>
          <w:p w14:paraId="74FD34B8">
            <w:pPr>
              <w:keepNext w:val="0"/>
              <w:keepLines w:val="0"/>
              <w:pageBreakBefore w:val="0"/>
              <w:kinsoku/>
              <w:wordWrap/>
              <w:overflowPunct/>
              <w:topLinePunct w:val="0"/>
              <w:autoSpaceDE/>
              <w:autoSpaceDN/>
              <w:bidi w:val="0"/>
              <w:spacing w:beforeAutospacing="0" w:afterAutospacing="0" w:line="560" w:lineRule="exact"/>
              <w:ind w:left="0" w:leftChars="0"/>
              <w:rPr>
                <w:rFonts w:hint="default" w:ascii="Times New Roman" w:hAnsi="Times New Roman" w:cs="Times New Roman"/>
                <w:color w:val="auto"/>
                <w:sz w:val="24"/>
              </w:rPr>
            </w:pPr>
          </w:p>
        </w:tc>
        <w:tc>
          <w:tcPr>
            <w:tcW w:w="407" w:type="pct"/>
            <w:tcBorders>
              <w:top w:val="single" w:color="auto" w:sz="4" w:space="0"/>
            </w:tcBorders>
            <w:noWrap w:val="0"/>
            <w:vAlign w:val="center"/>
          </w:tcPr>
          <w:p w14:paraId="4C93D310">
            <w:pPr>
              <w:keepNext w:val="0"/>
              <w:keepLines w:val="0"/>
              <w:pageBreakBefore w:val="0"/>
              <w:kinsoku/>
              <w:wordWrap/>
              <w:overflowPunct/>
              <w:topLinePunct w:val="0"/>
              <w:autoSpaceDE/>
              <w:autoSpaceDN/>
              <w:bidi w:val="0"/>
              <w:spacing w:beforeAutospacing="0" w:afterAutospacing="0" w:line="560" w:lineRule="exact"/>
              <w:ind w:left="0" w:leftChars="0"/>
              <w:rPr>
                <w:rFonts w:hint="default" w:ascii="Times New Roman" w:hAnsi="Times New Roman" w:cs="Times New Roman"/>
                <w:color w:val="auto"/>
                <w:sz w:val="24"/>
              </w:rPr>
            </w:pPr>
          </w:p>
        </w:tc>
      </w:tr>
      <w:tr w14:paraId="45F1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219" w:type="pct"/>
            <w:noWrap w:val="0"/>
            <w:vAlign w:val="center"/>
          </w:tcPr>
          <w:p w14:paraId="4098E536">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236" w:type="pct"/>
            <w:noWrap w:val="0"/>
            <w:vAlign w:val="center"/>
          </w:tcPr>
          <w:p w14:paraId="00947EDE">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591" w:type="pct"/>
            <w:noWrap w:val="0"/>
            <w:vAlign w:val="center"/>
          </w:tcPr>
          <w:p w14:paraId="51F242C2">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24" w:type="pct"/>
            <w:noWrap w:val="0"/>
            <w:vAlign w:val="center"/>
          </w:tcPr>
          <w:p w14:paraId="37611D5C">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77" w:type="pct"/>
            <w:noWrap w:val="0"/>
            <w:vAlign w:val="center"/>
          </w:tcPr>
          <w:p w14:paraId="4F1A253D">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423" w:type="pct"/>
            <w:noWrap w:val="0"/>
            <w:vAlign w:val="center"/>
          </w:tcPr>
          <w:p w14:paraId="3D26B179">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71" w:type="pct"/>
            <w:noWrap w:val="0"/>
            <w:vAlign w:val="center"/>
          </w:tcPr>
          <w:p w14:paraId="6CC8579C">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82" w:type="pct"/>
            <w:noWrap w:val="0"/>
            <w:vAlign w:val="center"/>
          </w:tcPr>
          <w:p w14:paraId="05EB8052">
            <w:pPr>
              <w:keepNext w:val="0"/>
              <w:keepLines w:val="0"/>
              <w:pageBreakBefore w:val="0"/>
              <w:widowControl/>
              <w:kinsoku/>
              <w:wordWrap/>
              <w:overflowPunct/>
              <w:topLinePunct w:val="0"/>
              <w:autoSpaceDE/>
              <w:autoSpaceDN/>
              <w:bidi w:val="0"/>
              <w:spacing w:beforeAutospacing="0" w:afterAutospacing="0" w:line="560" w:lineRule="exact"/>
              <w:ind w:left="0" w:leftChars="0"/>
              <w:jc w:val="left"/>
              <w:textAlignment w:val="center"/>
              <w:rPr>
                <w:rFonts w:hint="default" w:ascii="Times New Roman" w:hAnsi="Times New Roman" w:cs="Times New Roman"/>
                <w:color w:val="auto"/>
                <w:sz w:val="24"/>
              </w:rPr>
            </w:pPr>
          </w:p>
        </w:tc>
        <w:tc>
          <w:tcPr>
            <w:tcW w:w="418" w:type="pct"/>
            <w:noWrap w:val="0"/>
            <w:vAlign w:val="center"/>
          </w:tcPr>
          <w:p w14:paraId="4A8615B2">
            <w:pPr>
              <w:keepNext w:val="0"/>
              <w:keepLines w:val="0"/>
              <w:pageBreakBefore w:val="0"/>
              <w:widowControl/>
              <w:kinsoku/>
              <w:wordWrap/>
              <w:overflowPunct/>
              <w:topLinePunct w:val="0"/>
              <w:autoSpaceDE/>
              <w:autoSpaceDN/>
              <w:bidi w:val="0"/>
              <w:spacing w:beforeAutospacing="0" w:afterAutospacing="0" w:line="560" w:lineRule="exact"/>
              <w:ind w:left="0" w:leftChars="0"/>
              <w:jc w:val="left"/>
              <w:textAlignment w:val="center"/>
              <w:rPr>
                <w:rFonts w:hint="default" w:ascii="Times New Roman" w:hAnsi="Times New Roman" w:cs="Times New Roman"/>
                <w:color w:val="auto"/>
                <w:sz w:val="24"/>
              </w:rPr>
            </w:pPr>
          </w:p>
        </w:tc>
        <w:tc>
          <w:tcPr>
            <w:tcW w:w="772" w:type="pct"/>
            <w:noWrap w:val="0"/>
            <w:vAlign w:val="center"/>
          </w:tcPr>
          <w:p w14:paraId="51B6AF94">
            <w:pPr>
              <w:keepNext w:val="0"/>
              <w:keepLines w:val="0"/>
              <w:pageBreakBefore w:val="0"/>
              <w:widowControl/>
              <w:kinsoku/>
              <w:wordWrap/>
              <w:overflowPunct/>
              <w:topLinePunct w:val="0"/>
              <w:autoSpaceDE/>
              <w:autoSpaceDN/>
              <w:bidi w:val="0"/>
              <w:spacing w:beforeAutospacing="0" w:afterAutospacing="0" w:line="560" w:lineRule="exact"/>
              <w:ind w:left="0" w:leftChars="0"/>
              <w:jc w:val="left"/>
              <w:textAlignment w:val="center"/>
              <w:rPr>
                <w:rFonts w:hint="default" w:ascii="Times New Roman" w:hAnsi="Times New Roman" w:cs="Times New Roman"/>
                <w:color w:val="auto"/>
                <w:sz w:val="24"/>
              </w:rPr>
            </w:pPr>
          </w:p>
        </w:tc>
        <w:tc>
          <w:tcPr>
            <w:tcW w:w="475" w:type="pct"/>
            <w:noWrap w:val="0"/>
            <w:vAlign w:val="center"/>
          </w:tcPr>
          <w:p w14:paraId="06309058">
            <w:pPr>
              <w:keepNext w:val="0"/>
              <w:keepLines w:val="0"/>
              <w:pageBreakBefore w:val="0"/>
              <w:kinsoku/>
              <w:wordWrap/>
              <w:overflowPunct/>
              <w:topLinePunct w:val="0"/>
              <w:autoSpaceDE/>
              <w:autoSpaceDN/>
              <w:bidi w:val="0"/>
              <w:spacing w:beforeAutospacing="0" w:afterAutospacing="0" w:line="560" w:lineRule="exact"/>
              <w:ind w:left="0" w:leftChars="0"/>
              <w:rPr>
                <w:rFonts w:hint="default" w:ascii="Times New Roman" w:hAnsi="Times New Roman" w:cs="Times New Roman"/>
                <w:color w:val="auto"/>
                <w:sz w:val="24"/>
              </w:rPr>
            </w:pPr>
          </w:p>
        </w:tc>
        <w:tc>
          <w:tcPr>
            <w:tcW w:w="407" w:type="pct"/>
            <w:noWrap w:val="0"/>
            <w:vAlign w:val="center"/>
          </w:tcPr>
          <w:p w14:paraId="3F0AA760">
            <w:pPr>
              <w:keepNext w:val="0"/>
              <w:keepLines w:val="0"/>
              <w:pageBreakBefore w:val="0"/>
              <w:kinsoku/>
              <w:wordWrap/>
              <w:overflowPunct/>
              <w:topLinePunct w:val="0"/>
              <w:autoSpaceDE/>
              <w:autoSpaceDN/>
              <w:bidi w:val="0"/>
              <w:spacing w:beforeAutospacing="0" w:afterAutospacing="0" w:line="560" w:lineRule="exact"/>
              <w:ind w:left="0" w:leftChars="0"/>
              <w:rPr>
                <w:rFonts w:hint="default" w:ascii="Times New Roman" w:hAnsi="Times New Roman" w:cs="Times New Roman"/>
                <w:color w:val="auto"/>
                <w:sz w:val="24"/>
              </w:rPr>
            </w:pPr>
          </w:p>
        </w:tc>
      </w:tr>
      <w:tr w14:paraId="28FAC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0" w:hRule="atLeast"/>
        </w:trPr>
        <w:tc>
          <w:tcPr>
            <w:tcW w:w="219" w:type="pct"/>
            <w:noWrap w:val="0"/>
            <w:vAlign w:val="center"/>
          </w:tcPr>
          <w:p w14:paraId="133BA32F">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236" w:type="pct"/>
            <w:noWrap w:val="0"/>
            <w:vAlign w:val="center"/>
          </w:tcPr>
          <w:p w14:paraId="67C68571">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591" w:type="pct"/>
            <w:noWrap w:val="0"/>
            <w:vAlign w:val="center"/>
          </w:tcPr>
          <w:p w14:paraId="64593378">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24" w:type="pct"/>
            <w:noWrap w:val="0"/>
            <w:vAlign w:val="center"/>
          </w:tcPr>
          <w:p w14:paraId="641BB2C4">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77" w:type="pct"/>
            <w:noWrap w:val="0"/>
            <w:vAlign w:val="center"/>
          </w:tcPr>
          <w:p w14:paraId="661BF7ED">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423" w:type="pct"/>
            <w:noWrap w:val="0"/>
            <w:vAlign w:val="center"/>
          </w:tcPr>
          <w:p w14:paraId="356A6CC5">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71" w:type="pct"/>
            <w:noWrap w:val="0"/>
            <w:vAlign w:val="center"/>
          </w:tcPr>
          <w:p w14:paraId="5E0A88D2">
            <w:pPr>
              <w:keepNext w:val="0"/>
              <w:keepLines w:val="0"/>
              <w:pageBreakBefore w:val="0"/>
              <w:widowControl/>
              <w:kinsoku/>
              <w:wordWrap/>
              <w:overflowPunct/>
              <w:topLinePunct w:val="0"/>
              <w:autoSpaceDE/>
              <w:autoSpaceDN/>
              <w:bidi w:val="0"/>
              <w:spacing w:beforeAutospacing="0" w:afterAutospacing="0" w:line="560" w:lineRule="exact"/>
              <w:ind w:left="0" w:leftChars="0"/>
              <w:jc w:val="center"/>
              <w:textAlignment w:val="center"/>
              <w:rPr>
                <w:rFonts w:hint="default" w:ascii="Times New Roman" w:hAnsi="Times New Roman" w:cs="Times New Roman"/>
                <w:color w:val="auto"/>
                <w:sz w:val="24"/>
              </w:rPr>
            </w:pPr>
          </w:p>
        </w:tc>
        <w:tc>
          <w:tcPr>
            <w:tcW w:w="382" w:type="pct"/>
            <w:noWrap w:val="0"/>
            <w:vAlign w:val="center"/>
          </w:tcPr>
          <w:p w14:paraId="3487D78A">
            <w:pPr>
              <w:keepNext w:val="0"/>
              <w:keepLines w:val="0"/>
              <w:pageBreakBefore w:val="0"/>
              <w:widowControl/>
              <w:kinsoku/>
              <w:wordWrap/>
              <w:overflowPunct/>
              <w:topLinePunct w:val="0"/>
              <w:autoSpaceDE/>
              <w:autoSpaceDN/>
              <w:bidi w:val="0"/>
              <w:spacing w:beforeAutospacing="0" w:afterAutospacing="0" w:line="560" w:lineRule="exact"/>
              <w:ind w:left="0" w:leftChars="0"/>
              <w:jc w:val="left"/>
              <w:textAlignment w:val="center"/>
              <w:rPr>
                <w:rFonts w:hint="default" w:ascii="Times New Roman" w:hAnsi="Times New Roman" w:cs="Times New Roman"/>
                <w:color w:val="auto"/>
                <w:sz w:val="24"/>
              </w:rPr>
            </w:pPr>
          </w:p>
        </w:tc>
        <w:tc>
          <w:tcPr>
            <w:tcW w:w="418" w:type="pct"/>
            <w:noWrap w:val="0"/>
            <w:vAlign w:val="center"/>
          </w:tcPr>
          <w:p w14:paraId="1872DA9E">
            <w:pPr>
              <w:keepNext w:val="0"/>
              <w:keepLines w:val="0"/>
              <w:pageBreakBefore w:val="0"/>
              <w:widowControl/>
              <w:kinsoku/>
              <w:wordWrap/>
              <w:overflowPunct/>
              <w:topLinePunct w:val="0"/>
              <w:autoSpaceDE/>
              <w:autoSpaceDN/>
              <w:bidi w:val="0"/>
              <w:spacing w:beforeAutospacing="0" w:afterAutospacing="0" w:line="560" w:lineRule="exact"/>
              <w:ind w:left="0" w:leftChars="0"/>
              <w:jc w:val="left"/>
              <w:textAlignment w:val="center"/>
              <w:rPr>
                <w:rFonts w:hint="default" w:ascii="Times New Roman" w:hAnsi="Times New Roman" w:cs="Times New Roman"/>
                <w:color w:val="auto"/>
                <w:sz w:val="24"/>
              </w:rPr>
            </w:pPr>
          </w:p>
        </w:tc>
        <w:tc>
          <w:tcPr>
            <w:tcW w:w="772" w:type="pct"/>
            <w:noWrap w:val="0"/>
            <w:vAlign w:val="center"/>
          </w:tcPr>
          <w:p w14:paraId="6E312090">
            <w:pPr>
              <w:keepNext w:val="0"/>
              <w:keepLines w:val="0"/>
              <w:pageBreakBefore w:val="0"/>
              <w:widowControl/>
              <w:kinsoku/>
              <w:wordWrap/>
              <w:overflowPunct/>
              <w:topLinePunct w:val="0"/>
              <w:autoSpaceDE/>
              <w:autoSpaceDN/>
              <w:bidi w:val="0"/>
              <w:spacing w:beforeAutospacing="0" w:afterAutospacing="0" w:line="560" w:lineRule="exact"/>
              <w:ind w:left="0" w:leftChars="0"/>
              <w:jc w:val="left"/>
              <w:textAlignment w:val="center"/>
              <w:rPr>
                <w:rFonts w:hint="default" w:ascii="Times New Roman" w:hAnsi="Times New Roman" w:cs="Times New Roman"/>
                <w:color w:val="auto"/>
                <w:sz w:val="24"/>
              </w:rPr>
            </w:pPr>
          </w:p>
        </w:tc>
        <w:tc>
          <w:tcPr>
            <w:tcW w:w="475" w:type="pct"/>
            <w:noWrap w:val="0"/>
            <w:vAlign w:val="center"/>
          </w:tcPr>
          <w:p w14:paraId="315DB0E0">
            <w:pPr>
              <w:keepNext w:val="0"/>
              <w:keepLines w:val="0"/>
              <w:pageBreakBefore w:val="0"/>
              <w:kinsoku/>
              <w:wordWrap/>
              <w:overflowPunct/>
              <w:topLinePunct w:val="0"/>
              <w:autoSpaceDE/>
              <w:autoSpaceDN/>
              <w:bidi w:val="0"/>
              <w:spacing w:beforeAutospacing="0" w:afterAutospacing="0" w:line="560" w:lineRule="exact"/>
              <w:ind w:left="0" w:leftChars="0"/>
              <w:rPr>
                <w:rFonts w:hint="default" w:ascii="Times New Roman" w:hAnsi="Times New Roman" w:cs="Times New Roman"/>
                <w:color w:val="auto"/>
                <w:sz w:val="24"/>
              </w:rPr>
            </w:pPr>
          </w:p>
        </w:tc>
        <w:tc>
          <w:tcPr>
            <w:tcW w:w="407" w:type="pct"/>
            <w:noWrap w:val="0"/>
            <w:vAlign w:val="center"/>
          </w:tcPr>
          <w:p w14:paraId="7300B4B8">
            <w:pPr>
              <w:keepNext w:val="0"/>
              <w:keepLines w:val="0"/>
              <w:pageBreakBefore w:val="0"/>
              <w:kinsoku/>
              <w:wordWrap/>
              <w:overflowPunct/>
              <w:topLinePunct w:val="0"/>
              <w:autoSpaceDE/>
              <w:autoSpaceDN/>
              <w:bidi w:val="0"/>
              <w:spacing w:beforeAutospacing="0" w:afterAutospacing="0" w:line="560" w:lineRule="exact"/>
              <w:ind w:left="0" w:leftChars="0"/>
              <w:rPr>
                <w:rFonts w:hint="default" w:ascii="Times New Roman" w:hAnsi="Times New Roman" w:cs="Times New Roman"/>
                <w:color w:val="auto"/>
                <w:sz w:val="24"/>
              </w:rPr>
            </w:pPr>
          </w:p>
        </w:tc>
      </w:tr>
    </w:tbl>
    <w:p w14:paraId="626605EC">
      <w:pPr>
        <w:keepNext w:val="0"/>
        <w:keepLines w:val="0"/>
        <w:pageBreakBefore w:val="0"/>
        <w:kinsoku/>
        <w:wordWrap/>
        <w:overflowPunct/>
        <w:topLinePunct w:val="0"/>
        <w:autoSpaceDE/>
        <w:autoSpaceDN/>
        <w:bidi w:val="0"/>
        <w:spacing w:beforeAutospacing="0" w:afterAutospacing="0" w:line="560" w:lineRule="exact"/>
        <w:ind w:left="0" w:leftChars="0" w:firstLine="482" w:firstLineChars="200"/>
        <w:rPr>
          <w:rFonts w:hint="default" w:ascii="Times New Roman" w:hAnsi="Times New Roman" w:eastAsia="仿宋_GB2312" w:cs="Times New Roman"/>
          <w:b/>
          <w:bCs/>
          <w:color w:val="auto"/>
          <w:sz w:val="24"/>
          <w:szCs w:val="24"/>
        </w:rPr>
      </w:pPr>
      <w:r>
        <w:rPr>
          <w:rFonts w:hint="default" w:ascii="Times New Roman" w:hAnsi="Times New Roman" w:eastAsia="仿宋_GB2312" w:cs="Times New Roman"/>
          <w:b/>
          <w:bCs/>
          <w:color w:val="auto"/>
          <w:sz w:val="24"/>
          <w:szCs w:val="24"/>
        </w:rPr>
        <w:t>注：</w:t>
      </w:r>
      <w:r>
        <w:rPr>
          <w:rFonts w:hint="default" w:ascii="Times New Roman" w:hAnsi="Times New Roman" w:eastAsia="仿宋_GB2312" w:cs="Times New Roman"/>
          <w:b/>
          <w:bCs/>
          <w:color w:val="auto"/>
          <w:sz w:val="24"/>
          <w:szCs w:val="24"/>
          <w:lang w:val="en-US" w:eastAsia="zh-CN"/>
        </w:rPr>
        <w:t>1.</w:t>
      </w:r>
      <w:r>
        <w:rPr>
          <w:rFonts w:hint="default" w:ascii="Times New Roman" w:hAnsi="Times New Roman" w:eastAsia="仿宋_GB2312" w:cs="Times New Roman"/>
          <w:b/>
          <w:bCs/>
          <w:color w:val="auto"/>
          <w:sz w:val="24"/>
          <w:szCs w:val="24"/>
        </w:rPr>
        <w:t>整理成Excel表格形式发送邮箱。</w:t>
      </w:r>
    </w:p>
    <w:p w14:paraId="681980F2">
      <w:pPr>
        <w:keepNext w:val="0"/>
        <w:keepLines w:val="0"/>
        <w:pageBreakBefore w:val="0"/>
        <w:kinsoku/>
        <w:wordWrap/>
        <w:overflowPunct/>
        <w:topLinePunct w:val="0"/>
        <w:autoSpaceDE/>
        <w:autoSpaceDN/>
        <w:bidi w:val="0"/>
        <w:spacing w:beforeAutospacing="0" w:afterAutospacing="0" w:line="560" w:lineRule="exact"/>
        <w:ind w:left="0" w:leftChars="0" w:firstLine="482" w:firstLineChars="200"/>
        <w:rPr>
          <w:rFonts w:hint="default" w:ascii="Times New Roman" w:hAnsi="Times New Roman" w:eastAsia="方正小标宋简体" w:cs="Times New Roman"/>
          <w:color w:val="auto"/>
          <w:sz w:val="44"/>
          <w:szCs w:val="44"/>
        </w:rPr>
      </w:pPr>
      <w:r>
        <w:rPr>
          <w:rFonts w:hint="default" w:ascii="Times New Roman" w:hAnsi="Times New Roman" w:eastAsia="仿宋_GB2312" w:cs="Times New Roman"/>
          <w:b/>
          <w:bCs/>
          <w:color w:val="auto"/>
          <w:sz w:val="24"/>
          <w:szCs w:val="24"/>
          <w:lang w:val="en-US" w:eastAsia="zh-CN"/>
        </w:rPr>
        <w:t xml:space="preserve">    2.企业类型请注明：创新型、“专精特新”、“小巨人”、“单项冠军”、瞪羚、独角兽、股份制、有限公司。</w:t>
      </w:r>
    </w:p>
    <w:p w14:paraId="3E516867">
      <w:pPr>
        <w:pStyle w:val="3"/>
        <w:keepNext w:val="0"/>
        <w:keepLines w:val="0"/>
        <w:pageBreakBefore w:val="0"/>
        <w:widowControl w:val="0"/>
        <w:kinsoku/>
        <w:wordWrap/>
        <w:overflowPunct/>
        <w:topLinePunct w:val="0"/>
        <w:autoSpaceDE/>
        <w:autoSpaceDN/>
        <w:bidi w:val="0"/>
        <w:adjustRightInd/>
        <w:snapToGrid/>
        <w:spacing w:before="0" w:beforeAutospacing="0" w:afterAutospacing="0" w:line="560" w:lineRule="exact"/>
        <w:ind w:left="0" w:leftChars="0"/>
        <w:textAlignment w:val="auto"/>
        <w:rPr>
          <w:rFonts w:hint="default" w:ascii="Times New Roman" w:hAnsi="Times New Roman" w:eastAsia="仿宋_GB2312" w:cs="Times New Roman"/>
          <w:color w:val="auto"/>
          <w:spacing w:val="4"/>
          <w:sz w:val="32"/>
          <w:szCs w:val="32"/>
          <w:lang w:val="en-US" w:eastAsia="zh-CN"/>
        </w:rPr>
      </w:pPr>
    </w:p>
    <w:p w14:paraId="71149548">
      <w:pPr>
        <w:keepNext w:val="0"/>
        <w:keepLines w:val="0"/>
        <w:pageBreakBefore w:val="0"/>
        <w:kinsoku/>
        <w:wordWrap/>
        <w:overflowPunct/>
        <w:topLinePunct w:val="0"/>
        <w:autoSpaceDE/>
        <w:autoSpaceDN/>
        <w:bidi w:val="0"/>
        <w:spacing w:line="560" w:lineRule="exact"/>
        <w:ind w:firstLine="5760" w:firstLineChars="1800"/>
        <w:jc w:val="both"/>
        <w:textAlignment w:val="auto"/>
        <w:rPr>
          <w:rFonts w:hint="eastAsia" w:ascii="Times New Roman" w:hAnsi="Times New Roman" w:eastAsia="仿宋_GB2312" w:cs="Times New Roman"/>
          <w:b w:val="0"/>
          <w:bCs w:val="0"/>
          <w:color w:val="auto"/>
          <w:sz w:val="32"/>
          <w:szCs w:val="32"/>
          <w:highlight w:val="none"/>
          <w:lang w:val="en-US" w:eastAsia="zh-CN"/>
        </w:rPr>
      </w:pPr>
    </w:p>
    <w:p w14:paraId="354D46BA">
      <w:bookmarkStart w:id="1" w:name="_GoBack"/>
      <w:bookmarkEnd w:id="1"/>
    </w:p>
    <w:sectPr>
      <w:footerReference r:id="rId4"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E581E3B3-9B28-40BF-BCF7-5F3EA69EE3D4}"/>
  </w:font>
  <w:font w:name="黑体">
    <w:panose1 w:val="02010609060101010101"/>
    <w:charset w:val="86"/>
    <w:family w:val="auto"/>
    <w:pitch w:val="default"/>
    <w:sig w:usb0="800002BF" w:usb1="38CF7CFA" w:usb2="00000016" w:usb3="00000000" w:csb0="00040001" w:csb1="00000000"/>
    <w:embedRegular r:id="rId2" w:fontKey="{4F5EC51E-8A6E-4535-ACBC-E9DB7E63163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0C302B18-411F-4A76-9357-3C9E2809207A}"/>
  </w:font>
  <w:font w:name="等线">
    <w:panose1 w:val="02010600030101010101"/>
    <w:charset w:val="86"/>
    <w:family w:val="auto"/>
    <w:pitch w:val="default"/>
    <w:sig w:usb0="A00002BF" w:usb1="38CF7CFA" w:usb2="00000016" w:usb3="00000000" w:csb0="0004000F" w:csb1="00000000"/>
  </w:font>
  <w:font w:name="方正黑体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ECA107E2-509B-412C-9DE1-08C7E793E773}"/>
  </w:font>
  <w:font w:name="方正小标宋简体">
    <w:panose1 w:val="02000000000000000000"/>
    <w:charset w:val="86"/>
    <w:family w:val="auto"/>
    <w:pitch w:val="default"/>
    <w:sig w:usb0="00000001" w:usb1="08000000" w:usb2="00000000" w:usb3="00000000" w:csb0="00040000" w:csb1="00000000"/>
    <w:embedRegular r:id="rId5" w:fontKey="{10F6B2C0-721B-4E1C-A4B2-3E39949E6FCE}"/>
  </w:font>
  <w:font w:name="楷体">
    <w:panose1 w:val="02010609060101010101"/>
    <w:charset w:val="86"/>
    <w:family w:val="auto"/>
    <w:pitch w:val="default"/>
    <w:sig w:usb0="800002BF" w:usb1="38CF7CFA" w:usb2="00000016" w:usb3="00000000" w:csb0="00040001" w:csb1="00000000"/>
    <w:embedRegular r:id="rId6" w:fontKey="{EECCC90A-D617-4D2E-8B25-6FB137140CB6}"/>
  </w:font>
  <w:font w:name="FangSong_GB2312">
    <w:altName w:val="仿宋_GB2312"/>
    <w:panose1 w:val="00000000000000000000"/>
    <w:charset w:val="86"/>
    <w:family w:val="auto"/>
    <w:pitch w:val="default"/>
    <w:sig w:usb0="00000000" w:usb1="00000000" w:usb2="00000000" w:usb3="00000000" w:csb0="00040000" w:csb1="00000000"/>
    <w:embedRegular r:id="rId7" w:fontKey="{3A4D0FE1-49AC-4853-AABF-A5FABB3AA623}"/>
  </w:font>
  <w:font w:name="楷体_GB2312">
    <w:panose1 w:val="02010609030101010101"/>
    <w:charset w:val="86"/>
    <w:family w:val="auto"/>
    <w:pitch w:val="default"/>
    <w:sig w:usb0="00000001" w:usb1="080E0000" w:usb2="00000000" w:usb3="00000000" w:csb0="00040000" w:csb1="00000000"/>
    <w:embedRegular r:id="rId8" w:fontKey="{2ACEFBA1-261C-456F-9900-0C782740DA4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506C94">
    <w:pPr>
      <w:spacing w:line="171" w:lineRule="auto"/>
      <w:ind w:left="6925"/>
      <w:rPr>
        <w:rFonts w:ascii="Times New Roman" w:hAnsi="Times New Roman" w:eastAsia="Times New Roman" w:cs="Times New Roman"/>
        <w:sz w:val="15"/>
        <w:szCs w:val="15"/>
      </w:rPr>
    </w:pPr>
    <w:r>
      <w:rPr>
        <w:sz w:val="15"/>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5B51DA1">
                          <w:pPr>
                            <w:pStyle w:val="6"/>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14:paraId="35B51DA1">
                    <w:pPr>
                      <w:pStyle w:val="6"/>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761CF1">
    <w:pPr>
      <w:spacing w:line="171" w:lineRule="auto"/>
      <w:ind w:left="6925"/>
      <w:rPr>
        <w:rFonts w:ascii="Times New Roman" w:hAnsi="Times New Roman" w:eastAsia="Times New Roman" w:cs="Times New Roman"/>
        <w:sz w:val="15"/>
        <w:szCs w:val="15"/>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5EA46A8"/>
    <w:multiLevelType w:val="singleLevel"/>
    <w:tmpl w:val="C5EA46A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366200"/>
    <w:rsid w:val="013662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uiPriority w:val="0"/>
  </w:style>
  <w:style w:type="table" w:default="1" w:styleId="8">
    <w:name w:val="Normal Table"/>
    <w:semiHidden/>
    <w:uiPriority w:val="0"/>
    <w:tblPr>
      <w:tblCellMar>
        <w:top w:w="0" w:type="dxa"/>
        <w:left w:w="108" w:type="dxa"/>
        <w:bottom w:w="0" w:type="dxa"/>
        <w:right w:w="108" w:type="dxa"/>
      </w:tblCellMar>
    </w:tblPr>
  </w:style>
  <w:style w:type="paragraph" w:styleId="2">
    <w:name w:val="Normal Indent"/>
    <w:basedOn w:val="1"/>
    <w:next w:val="1"/>
    <w:qFormat/>
    <w:uiPriority w:val="0"/>
    <w:pPr>
      <w:adjustRightInd w:val="0"/>
      <w:spacing w:line="300" w:lineRule="auto"/>
      <w:ind w:firstLine="420"/>
      <w:textAlignment w:val="baseline"/>
    </w:pPr>
    <w:rPr>
      <w:color w:val="000000"/>
      <w:kern w:val="0"/>
      <w:sz w:val="24"/>
      <w:szCs w:val="25"/>
    </w:rPr>
  </w:style>
  <w:style w:type="paragraph" w:styleId="3">
    <w:name w:val="Body Text"/>
    <w:basedOn w:val="1"/>
    <w:next w:val="4"/>
    <w:qFormat/>
    <w:uiPriority w:val="0"/>
    <w:pPr>
      <w:keepNext w:val="0"/>
      <w:keepLines w:val="0"/>
      <w:widowControl w:val="0"/>
      <w:suppressLineNumbers w:val="0"/>
      <w:spacing w:before="0" w:beforeAutospacing="0" w:afterAutospacing="0" w:line="360" w:lineRule="auto"/>
      <w:ind w:left="0" w:right="0" w:firstLine="720" w:firstLineChars="200"/>
      <w:jc w:val="both"/>
    </w:pPr>
    <w:rPr>
      <w:szCs w:val="24"/>
      <w:lang w:bidi="ar"/>
    </w:rPr>
  </w:style>
  <w:style w:type="paragraph" w:styleId="4">
    <w:name w:val="Title"/>
    <w:basedOn w:val="1"/>
    <w:next w:val="1"/>
    <w:qFormat/>
    <w:uiPriority w:val="0"/>
    <w:pPr>
      <w:spacing w:before="480" w:after="480" w:line="288" w:lineRule="auto"/>
      <w:ind w:left="0"/>
    </w:pPr>
    <w:rPr>
      <w:rFonts w:ascii="Arial" w:hAnsi="Arial" w:eastAsia="等线" w:cs="Arial"/>
      <w:b/>
      <w:bCs/>
      <w:sz w:val="52"/>
      <w:szCs w:val="52"/>
    </w:rPr>
  </w:style>
  <w:style w:type="paragraph" w:styleId="5">
    <w:name w:val="Body Text Indent"/>
    <w:basedOn w:val="1"/>
    <w:next w:val="2"/>
    <w:qFormat/>
    <w:uiPriority w:val="99"/>
    <w:pPr>
      <w:spacing w:after="120"/>
      <w:ind w:left="420" w:leftChars="200"/>
    </w:pPr>
  </w:style>
  <w:style w:type="paragraph" w:styleId="6">
    <w:name w:val="footer"/>
    <w:basedOn w:val="1"/>
    <w:qFormat/>
    <w:uiPriority w:val="0"/>
    <w:pPr>
      <w:tabs>
        <w:tab w:val="center" w:pos="4153"/>
        <w:tab w:val="right" w:pos="8306"/>
      </w:tabs>
      <w:snapToGrid w:val="0"/>
      <w:jc w:val="left"/>
    </w:pPr>
    <w:rPr>
      <w:sz w:val="18"/>
    </w:rPr>
  </w:style>
  <w:style w:type="paragraph" w:styleId="7">
    <w:name w:val="Body Text First Indent 2"/>
    <w:basedOn w:val="5"/>
    <w:next w:val="1"/>
    <w:qFormat/>
    <w:uiPriority w:val="99"/>
    <w:pPr>
      <w:ind w:firstLine="420"/>
    </w:pPr>
  </w:style>
  <w:style w:type="paragraph" w:customStyle="1" w:styleId="10">
    <w:name w:val="Default"/>
    <w:qFormat/>
    <w:uiPriority w:val="0"/>
    <w:pPr>
      <w:widowControl w:val="0"/>
      <w:autoSpaceDE w:val="0"/>
      <w:autoSpaceDN w:val="0"/>
      <w:adjustRightInd w:val="0"/>
    </w:pPr>
    <w:rPr>
      <w:rFonts w:ascii="Calibri" w:hAnsi="Calibri" w:eastAsia="宋体" w:cs="Times New Roman"/>
      <w:color w:val="000000"/>
      <w:kern w:val="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2025-11-07T03:07:00Z</dcterms:created>
  <dc:creator>Caroline</dc:creator>
  <cp:lastModifiedBy>Caroline</cp:lastModifiedBy>
  <dcterms:modified xsi:type="dcterms:W3CDTF">2025-11-07T03:08:22Z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3A14BA8B26D34D328743D4049AD9DEAC_11</vt:lpwstr>
  </property>
  <property fmtid="{D5CDD505-2E9C-101B-9397-08002B2CF9AE}" pid="4" name="KSOTemplateDocerSaveRecord">
    <vt:lpwstr>eyJoZGlkIjoiZDg4ZmE3ZjMyMDNmNTk5MmYyNmU5NGUxYzhhMWI2ZWIiLCJ1c2VySWQiOiIyODQ5MTkzODUifQ==</vt:lpwstr>
  </property>
</Properties>
</file>