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山东省地方标准项目申请书</w:t>
      </w:r>
    </w:p>
    <w:tbl>
      <w:tblPr>
        <w:tblStyle w:val="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□强制性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pacing w:val="-11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1"/>
                <w:sz w:val="24"/>
                <w:szCs w:val="32"/>
              </w:rPr>
              <w:t>制定/</w:t>
            </w:r>
            <w:r>
              <w:rPr>
                <w:rFonts w:ascii="仿宋_GB2312" w:hAnsi="仿宋" w:eastAsia="仿宋_GB2312"/>
                <w:spacing w:val="-11"/>
                <w:sz w:val="24"/>
                <w:szCs w:val="32"/>
              </w:rPr>
              <w:t>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□制定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采用</w:t>
            </w:r>
            <w:r>
              <w:rPr>
                <w:rFonts w:ascii="仿宋_GB2312" w:hAnsi="仿宋" w:eastAsia="仿宋_GB2312"/>
                <w:sz w:val="24"/>
                <w:szCs w:val="32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ISO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IEC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ITU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ISO/IEC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ISO确认的标准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修改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等同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调整</w:t>
            </w:r>
            <w:r>
              <w:rPr>
                <w:rFonts w:ascii="仿宋_GB2312" w:hAnsi="仿宋" w:eastAsia="仿宋_GB2312"/>
                <w:sz w:val="24"/>
                <w:szCs w:val="32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经济调节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市场监管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社会管理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公共服务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环境保护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</w:t>
            </w:r>
            <w:r>
              <w:rPr>
                <w:rFonts w:ascii="仿宋_GB2312" w:hAnsi="仿宋" w:eastAsia="仿宋_GB2312"/>
                <w:sz w:val="24"/>
                <w:szCs w:val="32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山东省工业和信息化厅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主要</w:t>
            </w:r>
            <w:r>
              <w:rPr>
                <w:rFonts w:ascii="仿宋_GB2312" w:hAnsi="仿宋" w:eastAsia="仿宋_GB2312"/>
                <w:sz w:val="24"/>
                <w:szCs w:val="32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32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  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通信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□有（项目类别及名称：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7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7"/>
                <w:sz w:val="24"/>
                <w:szCs w:val="32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一、制定地方标准的必要性、可行性（标准提出的政策依据、可行性分析和重要意义等）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二、地方标准适用范围和主要技术内容（修订标准应当明确修订内容）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lang w:val="en-US" w:eastAsia="zh-CN"/>
              </w:rPr>
              <w:t>三、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>本行业/领域地方标准体系框架分析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四、标准查新及与相关国家标准、行业标准、地方标准协调情况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五、是否可同步提报国家标准或国际标准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六、起草单位情况、进度安排及保障措施（组织、人员、技术和经费等）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七、地方标准实施预期效益分析（经济效益、社会效益和生态效益等）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八、地方标准组织实施及监督工作措施（标准宣贯培训、试点应用、监督检查及持续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改进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等）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九、与有关部门协调情况（如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有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职责交叉，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请予以说明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十、其他</w:t>
            </w: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意见：</w:t>
            </w:r>
          </w:p>
          <w:p>
            <w:pPr>
              <w:rPr>
                <w:rFonts w:ascii="仿宋_GB2312" w:hAnsi="仿宋" w:eastAsia="仿宋_GB2312" w:cs="宋体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360" w:lineRule="auto"/>
              <w:ind w:firstLine="2040" w:firstLineChars="850"/>
              <w:contextualSpacing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负责人（签字）：</w:t>
            </w:r>
            <w:r>
              <w:rPr>
                <w:rFonts w:ascii="仿宋_GB2312" w:hAnsi="宋体" w:eastAsia="仿宋_GB2312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单位（盖  章）</w:t>
            </w:r>
          </w:p>
          <w:p>
            <w:pPr>
              <w:ind w:firstLine="5640" w:firstLineChars="2350"/>
              <w:rPr>
                <w:rFonts w:ascii="仿宋_GB2312" w:hAnsi="仿宋" w:eastAsia="仿宋_GB2312" w:cs="宋体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u&#10;lnR/twEAAFY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43B6"/>
    <w:rsid w:val="01E54A8D"/>
    <w:rsid w:val="0D1B0928"/>
    <w:rsid w:val="206956A2"/>
    <w:rsid w:val="233C3B4C"/>
    <w:rsid w:val="27862D76"/>
    <w:rsid w:val="2B46167C"/>
    <w:rsid w:val="4AFD6DA2"/>
    <w:rsid w:val="4E626C3B"/>
    <w:rsid w:val="52E94E95"/>
    <w:rsid w:val="56855782"/>
    <w:rsid w:val="5BD1780A"/>
    <w:rsid w:val="618243B6"/>
    <w:rsid w:val="642D0DE0"/>
    <w:rsid w:val="7F2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标题 1 Char"/>
    <w:basedOn w:val="9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1">
    <w:name w:val="标题 2 Char"/>
    <w:basedOn w:val="9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2021-11-10T02:24:00Z</dcterms:created>
  <dc:creator>打印室（套红）</dc:creator>
  <cp:lastModifiedBy>科技处-LR</cp:lastModifiedBy>
  <dcterms:modified xsi:type="dcterms:W3CDTF">2022-03-01T01:20:47Z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2B28BD73823C45BAA2743BB81C694B62</vt:lpwstr>
  </property>
</Properties>
</file>