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rPr>
      </w:pPr>
      <w:r>
        <w:rPr>
          <w:rFonts w:hint="eastAsia" w:ascii="仿宋_GB2312" w:hAnsi="仿宋_GB2312" w:eastAsia="仿宋_GB2312" w:cs="仿宋_GB2312"/>
          <w:sz w:val="30"/>
        </w:rPr>
        <w:t>所在地市：</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ascii="仿宋_GB2312" w:hAnsi="仿宋_GB2312" w:eastAsia="仿宋_GB2312" w:cs="仿宋_GB2312"/>
          <w:sz w:val="30"/>
        </w:rPr>
      </w:pP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ascii="仿宋_GB2312" w:hAnsi="仿宋_GB2312" w:eastAsia="仿宋_GB2312" w:cs="仿宋_GB2312"/>
          <w:b/>
          <w:sz w:val="30"/>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二、所属行业请依据《国民经济行业分类》</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GB/T 4754-2017</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填写；单位性质依据营业执照中的类型填写。</w:t>
      </w:r>
    </w:p>
    <w:p>
      <w:pPr>
        <w:tabs>
          <w:tab w:val="left" w:pos="1152"/>
        </w:tabs>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ind w:firstLine="640" w:firstLineChars="200"/>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四、自评价报告应按照规定格式填写</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、材料采用A4纸双面打印（不接受单面打印材料），封面为彩色软页（不接受硬面的），材料起墙处要有</w:t>
      </w:r>
      <w:r>
        <w:rPr>
          <w:rFonts w:hint="eastAsia" w:ascii="Times New Roman" w:hAnsi="Times New Roman" w:eastAsia="仿宋_GB2312" w:cs="Times New Roman"/>
          <w:sz w:val="32"/>
          <w:szCs w:val="32"/>
          <w:lang w:eastAsia="zh-CN"/>
        </w:rPr>
        <w:t>申报单位</w:t>
      </w:r>
      <w:r>
        <w:rPr>
          <w:rFonts w:hint="default" w:ascii="Times New Roman" w:hAnsi="Times New Roman" w:eastAsia="仿宋_GB2312" w:cs="Times New Roman"/>
          <w:sz w:val="32"/>
          <w:szCs w:val="32"/>
        </w:rPr>
        <w:t>名称标识。材料要编写目录和页码，按顺序胶印装订成册。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复印</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要清洁，字迹要清晰，不清楚或</w:t>
      </w:r>
      <w:r>
        <w:rPr>
          <w:rFonts w:hint="default" w:ascii="Times New Roman" w:hAnsi="Times New Roman" w:eastAsia="仿宋_GB2312" w:cs="Times New Roman"/>
          <w:sz w:val="32"/>
          <w:szCs w:val="32"/>
          <w:lang w:val="en-US" w:eastAsia="zh-CN"/>
        </w:rPr>
        <w:t>无法</w:t>
      </w:r>
      <w:r>
        <w:rPr>
          <w:rFonts w:hint="default" w:ascii="Times New Roman" w:hAnsi="Times New Roman" w:eastAsia="仿宋_GB2312" w:cs="Times New Roman"/>
          <w:sz w:val="32"/>
          <w:szCs w:val="32"/>
        </w:rPr>
        <w:t>辨认的视为无效材料</w:t>
      </w:r>
      <w:r>
        <w:rPr>
          <w:rFonts w:hint="default" w:ascii="Times New Roman" w:hAnsi="Times New Roman" w:eastAsia="仿宋_GB2312" w:cs="Times New Roman"/>
          <w:sz w:val="32"/>
          <w:szCs w:val="32"/>
          <w:lang w:eastAsia="zh-CN"/>
        </w:rPr>
        <w:t>（视为没有提供）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扫描件</w:t>
      </w:r>
      <w:r>
        <w:rPr>
          <w:rFonts w:hint="eastAsia" w:ascii="Times New Roman" w:hAnsi="Times New Roman" w:eastAsia="仿宋_GB2312" w:cs="Times New Roman"/>
          <w:sz w:val="32"/>
          <w:szCs w:val="32"/>
          <w:lang w:eastAsia="zh-CN"/>
        </w:rPr>
        <w:t>或者复印件</w:t>
      </w:r>
      <w:r>
        <w:rPr>
          <w:rFonts w:hint="eastAsia" w:ascii="Times New Roman" w:hAnsi="Times New Roman" w:eastAsia="仿宋_GB2312" w:cs="Times New Roman"/>
          <w:sz w:val="32"/>
          <w:szCs w:val="32"/>
        </w:rPr>
        <w:t>应等比例扫描</w:t>
      </w:r>
      <w:r>
        <w:rPr>
          <w:rFonts w:hint="eastAsia" w:ascii="Times New Roman" w:hAnsi="Times New Roman" w:eastAsia="仿宋_GB2312" w:cs="Times New Roman"/>
          <w:sz w:val="32"/>
          <w:szCs w:val="32"/>
          <w:lang w:eastAsia="zh-CN"/>
        </w:rPr>
        <w:t>或复印。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、纸质材料</w:t>
      </w:r>
      <w:r>
        <w:rPr>
          <w:rFonts w:ascii="Times New Roman" w:hAnsi="Times New Roman" w:eastAsia="仿宋_GB2312" w:cs="Times New Roman"/>
          <w:color w:val="000000"/>
          <w:kern w:val="0"/>
          <w:sz w:val="32"/>
          <w:szCs w:val="32"/>
        </w:rPr>
        <w:t>一式</w:t>
      </w:r>
      <w:r>
        <w:rPr>
          <w:rFonts w:hint="eastAsia" w:ascii="Times New Roman" w:hAnsi="Times New Roman" w:eastAsia="仿宋_GB2312" w:cs="Times New Roman"/>
          <w:color w:val="000000"/>
          <w:kern w:val="0"/>
          <w:sz w:val="32"/>
          <w:szCs w:val="32"/>
          <w:lang w:eastAsia="zh-CN"/>
        </w:rPr>
        <w:t>三</w:t>
      </w:r>
      <w:r>
        <w:rPr>
          <w:rFonts w:ascii="Times New Roman" w:hAnsi="Times New Roman" w:eastAsia="仿宋_GB2312" w:cs="Times New Roman"/>
          <w:color w:val="000000"/>
          <w:kern w:val="0"/>
          <w:sz w:val="32"/>
          <w:szCs w:val="32"/>
        </w:rPr>
        <w:t>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报电子版文</w:t>
      </w:r>
      <w:r>
        <w:rPr>
          <w:rFonts w:hint="eastAsia" w:ascii="Times New Roman" w:hAnsi="Times New Roman" w:eastAsia="仿宋_GB2312" w:cs="Times New Roman"/>
          <w:sz w:val="32"/>
          <w:szCs w:val="32"/>
          <w:lang w:eastAsia="zh-CN"/>
        </w:rPr>
        <w:t>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电子版</w:t>
      </w:r>
      <w:r>
        <w:rPr>
          <w:rFonts w:hint="eastAsia" w:ascii="Times New Roman" w:hAnsi="Times New Roman" w:eastAsia="仿宋_GB2312" w:cs="Times New Roman"/>
          <w:sz w:val="32"/>
          <w:szCs w:val="32"/>
          <w:lang w:eastAsia="zh-CN"/>
        </w:rPr>
        <w:t>文档</w:t>
      </w:r>
      <w:r>
        <w:rPr>
          <w:rFonts w:hint="default" w:ascii="Times New Roman" w:hAnsi="Times New Roman" w:eastAsia="仿宋_GB2312" w:cs="Times New Roman"/>
          <w:sz w:val="32"/>
          <w:szCs w:val="32"/>
        </w:rPr>
        <w:t>须是一个</w:t>
      </w:r>
      <w:r>
        <w:rPr>
          <w:rFonts w:hint="default" w:ascii="Times New Roman" w:hAnsi="Times New Roman" w:eastAsia="仿宋_GB2312" w:cs="Times New Roman"/>
          <w:sz w:val="32"/>
          <w:szCs w:val="32"/>
          <w:lang w:eastAsia="zh-CN"/>
        </w:rPr>
        <w:t>完整的</w:t>
      </w:r>
      <w:r>
        <w:rPr>
          <w:rFonts w:hint="default" w:ascii="Times New Roman" w:hAnsi="Times New Roman" w:eastAsia="仿宋_GB2312" w:cs="Times New Roman"/>
          <w:sz w:val="32"/>
          <w:szCs w:val="32"/>
        </w:rPr>
        <w:t>PDF文件，</w:t>
      </w:r>
      <w:r>
        <w:rPr>
          <w:rFonts w:hint="default" w:ascii="Times New Roman" w:hAnsi="Times New Roman" w:eastAsia="仿宋_GB2312" w:cs="Times New Roman"/>
          <w:sz w:val="32"/>
          <w:szCs w:val="32"/>
          <w:lang w:eastAsia="zh-CN"/>
        </w:rPr>
        <w:t>内容及</w:t>
      </w:r>
      <w:r>
        <w:rPr>
          <w:rFonts w:hint="default" w:ascii="Times New Roman" w:hAnsi="Times New Roman" w:eastAsia="仿宋_GB2312" w:cs="Times New Roman"/>
          <w:sz w:val="32"/>
          <w:szCs w:val="32"/>
        </w:rPr>
        <w:t>顺序</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跟纸质材料完全一致。</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8"/>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行业代码</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6" w:firstLineChars="207"/>
              <w:rPr>
                <w:rFonts w:ascii="Times New Roman" w:hAnsi="Times New Roman" w:eastAsia="仿宋_GB2312" w:cs="Times New Roman"/>
                <w:kern w:val="0"/>
                <w:sz w:val="24"/>
              </w:rPr>
            </w:pPr>
          </w:p>
          <w:p>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8"/>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8"/>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对照</w:t>
      </w:r>
      <w:r>
        <w:rPr>
          <w:rFonts w:hint="eastAsia" w:ascii="Times New Roman" w:hAnsi="Times New Roman" w:eastAsia="仿宋_GB2312" w:cs="Times New Roman"/>
          <w:color w:val="000000"/>
          <w:kern w:val="0"/>
          <w:sz w:val="32"/>
          <w:szCs w:val="32"/>
          <w:lang w:eastAsia="zh-CN"/>
        </w:rPr>
        <w:t>工信部</w:t>
      </w:r>
      <w:r>
        <w:rPr>
          <w:rFonts w:hint="eastAsia" w:ascii="Times New Roman" w:hAnsi="Times New Roman" w:eastAsia="仿宋_GB2312" w:cs="Times New Roman"/>
          <w:color w:val="000000"/>
          <w:kern w:val="0"/>
          <w:sz w:val="32"/>
          <w:szCs w:val="32"/>
        </w:rPr>
        <w:t>《绿色工厂评价要求》</w:t>
      </w:r>
      <w:r>
        <w:rPr>
          <w:rFonts w:ascii="Times New Roman" w:hAnsi="Times New Roman" w:eastAsia="仿宋_GB2312" w:cs="Times New Roman"/>
          <w:color w:val="000000"/>
          <w:kern w:val="0"/>
          <w:sz w:val="32"/>
          <w:szCs w:val="32"/>
        </w:rPr>
        <w:t xml:space="preserve">主要对工厂的基础设施、管理体系、能源资源投入、产品、环境排放等内容进行情况描述。 </w:t>
      </w:r>
    </w:p>
    <w:p>
      <w:pPr>
        <w:pStyle w:val="18"/>
        <w:widowControl/>
        <w:numPr>
          <w:ilvl w:val="0"/>
          <w:numId w:val="2"/>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基础设施情况。主要描述工厂的建筑、照明</w:t>
      </w:r>
      <w:r>
        <w:rPr>
          <w:rFonts w:hint="eastAsia" w:ascii="Times New Roman" w:hAnsi="Times New Roman" w:eastAsia="仿宋_GB2312" w:cs="Times New Roman"/>
          <w:color w:val="000000"/>
          <w:kern w:val="0"/>
          <w:sz w:val="32"/>
          <w:szCs w:val="32"/>
        </w:rPr>
        <w:t>、设备设施（包括专用设备、通用设备、计量设备及污染物处理设备设施等）</w:t>
      </w:r>
      <w:r>
        <w:rPr>
          <w:rFonts w:ascii="Times New Roman" w:hAnsi="Times New Roman" w:eastAsia="仿宋_GB2312" w:cs="Times New Roman"/>
          <w:color w:val="000000"/>
          <w:kern w:val="0"/>
          <w:sz w:val="32"/>
          <w:szCs w:val="32"/>
        </w:rPr>
        <w:t>情况，以及相关标准落实情况。</w:t>
      </w:r>
    </w:p>
    <w:p>
      <w:pPr>
        <w:pStyle w:val="18"/>
        <w:widowControl/>
        <w:numPr>
          <w:ilvl w:val="0"/>
          <w:numId w:val="2"/>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管理体系情况。主要描述工厂管理体系建设情况。</w:t>
      </w:r>
    </w:p>
    <w:p>
      <w:pPr>
        <w:pStyle w:val="18"/>
        <w:widowControl/>
        <w:numPr>
          <w:ilvl w:val="0"/>
          <w:numId w:val="2"/>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8"/>
        <w:widowControl/>
        <w:numPr>
          <w:ilvl w:val="0"/>
          <w:numId w:val="2"/>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产品情况。主要描述产品的</w:t>
      </w:r>
      <w:r>
        <w:rPr>
          <w:rFonts w:hint="eastAsia" w:ascii="Times New Roman" w:hAnsi="Times New Roman" w:eastAsia="仿宋_GB2312" w:cs="Times New Roman"/>
          <w:color w:val="000000"/>
          <w:kern w:val="0"/>
          <w:sz w:val="32"/>
          <w:szCs w:val="32"/>
        </w:rPr>
        <w:t>生态</w:t>
      </w:r>
      <w:r>
        <w:rPr>
          <w:rFonts w:ascii="Times New Roman" w:hAnsi="Times New Roman" w:eastAsia="仿宋_GB2312" w:cs="Times New Roman"/>
          <w:color w:val="000000"/>
          <w:kern w:val="0"/>
          <w:sz w:val="32"/>
          <w:szCs w:val="32"/>
        </w:rPr>
        <w:t>设计、有害物质使用</w:t>
      </w:r>
      <w:r>
        <w:rPr>
          <w:rFonts w:hint="eastAsia" w:ascii="Times New Roman" w:hAnsi="Times New Roman" w:eastAsia="仿宋_GB2312" w:cs="Times New Roman"/>
          <w:color w:val="000000"/>
          <w:kern w:val="0"/>
          <w:sz w:val="32"/>
          <w:szCs w:val="32"/>
        </w:rPr>
        <w:t>、节能、减碳以及可回收利用</w:t>
      </w:r>
      <w:r>
        <w:rPr>
          <w:rFonts w:ascii="Times New Roman" w:hAnsi="Times New Roman" w:eastAsia="仿宋_GB2312" w:cs="Times New Roman"/>
          <w:color w:val="000000"/>
          <w:kern w:val="0"/>
          <w:sz w:val="32"/>
          <w:szCs w:val="32"/>
        </w:rPr>
        <w:t>等情况，以及相关标准落实情况。</w:t>
      </w:r>
    </w:p>
    <w:p>
      <w:pPr>
        <w:pStyle w:val="18"/>
        <w:widowControl/>
        <w:numPr>
          <w:ilvl w:val="0"/>
          <w:numId w:val="2"/>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环境排放情况。主要描述大气污染物、水体污染物、固体</w:t>
      </w:r>
      <w:r>
        <w:rPr>
          <w:rFonts w:hint="eastAsia" w:ascii="Times New Roman" w:hAnsi="Times New Roman" w:eastAsia="仿宋_GB2312" w:cs="Times New Roman"/>
          <w:color w:val="000000"/>
          <w:kern w:val="0"/>
          <w:sz w:val="32"/>
          <w:szCs w:val="32"/>
        </w:rPr>
        <w:t>废弃</w:t>
      </w:r>
      <w:r>
        <w:rPr>
          <w:rFonts w:ascii="Times New Roman" w:hAnsi="Times New Roman" w:eastAsia="仿宋_GB2312" w:cs="Times New Roman"/>
          <w:color w:val="000000"/>
          <w:kern w:val="0"/>
          <w:sz w:val="32"/>
          <w:szCs w:val="32"/>
        </w:rPr>
        <w:t>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8"/>
        <w:widowControl/>
        <w:snapToGrid w:val="0"/>
        <w:spacing w:line="360" w:lineRule="auto"/>
        <w:ind w:firstLine="640"/>
        <w:rPr>
          <w:rFonts w:ascii="Times New Roman" w:hAnsi="Times New Roman" w:eastAsia="黑体" w:cs="Times New Roman"/>
          <w:bCs/>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8"/>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w:t>
      </w:r>
      <w:r>
        <w:rPr>
          <w:rFonts w:hint="eastAsia" w:ascii="Times New Roman" w:hAnsi="Times New Roman" w:eastAsia="仿宋_GB2312" w:cs="Times New Roman"/>
          <w:color w:val="000000"/>
          <w:kern w:val="0"/>
          <w:sz w:val="32"/>
          <w:szCs w:val="32"/>
          <w:lang w:eastAsia="zh-CN"/>
        </w:rPr>
        <w:t>工信部</w:t>
      </w:r>
      <w:bookmarkStart w:id="0" w:name="_GoBack"/>
      <w:bookmarkEnd w:id="0"/>
      <w:r>
        <w:rPr>
          <w:rFonts w:ascii="Times New Roman" w:hAnsi="Times New Roman" w:eastAsia="仿宋_GB2312" w:cs="Times New Roman"/>
          <w:color w:val="000000"/>
          <w:kern w:val="0"/>
          <w:sz w:val="32"/>
          <w:szCs w:val="32"/>
        </w:rPr>
        <w:t>《绿色工厂评价要求》，工厂进行自评，并填写附表1</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和附表</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2。</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numPr>
          <w:ilvl w:val="0"/>
          <w:numId w:val="3"/>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numPr>
          <w:ilvl w:val="0"/>
          <w:numId w:val="3"/>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numPr>
          <w:ilvl w:val="0"/>
          <w:numId w:val="3"/>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numPr>
          <w:ilvl w:val="0"/>
          <w:numId w:val="3"/>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numPr>
          <w:ilvl w:val="0"/>
          <w:numId w:val="3"/>
        </w:numPr>
        <w:ind w:firstLine="640"/>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numPr>
          <w:ilvl w:val="0"/>
          <w:numId w:val="3"/>
        </w:numPr>
        <w:ind w:firstLine="640"/>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numPr>
          <w:ilvl w:val="0"/>
          <w:numId w:val="3"/>
        </w:numPr>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numPr>
          <w:ilvl w:val="0"/>
          <w:numId w:val="3"/>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numPr>
          <w:ilvl w:val="0"/>
          <w:numId w:val="3"/>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numPr>
          <w:ilvl w:val="0"/>
          <w:numId w:val="3"/>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numPr>
          <w:ilvl w:val="0"/>
          <w:numId w:val="3"/>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numPr>
          <w:ilvl w:val="0"/>
          <w:numId w:val="3"/>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numPr>
          <w:ilvl w:val="0"/>
          <w:numId w:val="3"/>
        </w:numPr>
        <w:ind w:firstLine="640"/>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1.1</w:t>
      </w:r>
    </w:p>
    <w:p>
      <w:pPr>
        <w:widowControl/>
        <w:jc w:val="left"/>
        <w:rPr>
          <w:rFonts w:ascii="Times New Roman" w:hAnsi="Times New Roman" w:eastAsia="黑体" w:cs="Times New Roman"/>
          <w:bCs/>
          <w:sz w:val="36"/>
          <w:szCs w:val="36"/>
        </w:rPr>
      </w:pP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w:t>
      </w:r>
      <w:r>
        <w:rPr>
          <w:rFonts w:ascii="Times New Roman" w:hAnsi="Times New Roman" w:eastAsia="黑体" w:cs="Times New Roman"/>
          <w:bCs/>
          <w:sz w:val="36"/>
          <w:szCs w:val="36"/>
        </w:rPr>
        <w:t>自评表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基本</w:t>
            </w:r>
            <w:r>
              <w:rPr>
                <w:rFonts w:ascii="Times New Roman" w:hAnsi="Times New Roman" w:eastAsia="仿宋_GB2312" w:cs="Times New Roman"/>
                <w:b/>
                <w:kern w:val="0"/>
                <w:sz w:val="28"/>
                <w:szCs w:val="28"/>
              </w:rPr>
              <w:t>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近三年（含成立不足三年）无较大及以上安全、环保、质量等事故。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对利益相关方的环境要求做出承诺的，应同时满足有关承诺的要求。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最高管理者在绿色工厂方面的领导作用和承诺满足GB/T 36132 中4.3.1 a)的要求。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最高管理者应</w:t>
            </w:r>
            <w:r>
              <w:rPr>
                <w:rFonts w:hint="eastAsia" w:ascii="仿宋_GB2312" w:hAnsi="宋体" w:eastAsia="仿宋_GB2312" w:cs="宋体"/>
                <w:kern w:val="0"/>
                <w:sz w:val="24"/>
              </w:rPr>
              <w:t>确保在工厂内部分配并沟通与绿色工厂相关角色的职责和权限，且满足GB/T 36132 中4.3.1 b)的要求。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工厂应设有绿色工厂管理机构，负责有关绿色工厂的制度建设、实施、考核及奖励工作，建立目标责任制。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工厂应有开展绿色工厂的中长期规划及年度目标、指标和实施方案。可行时，指标应明确且可量化。</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工厂应传播绿色制造的概念和知识，定期为员工提供绿色制造相关知识的教育、培训，并对教育和培训的结果进行考评。</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bl>
    <w:p>
      <w:pPr>
        <w:spacing w:line="360" w:lineRule="auto"/>
        <w:jc w:val="center"/>
        <w:rPr>
          <w:rFonts w:ascii="Times New Roman" w:hAnsi="Times New Roman" w:eastAsia="方正小标宋简体" w:cs="Times New Roman"/>
          <w:bCs/>
          <w:sz w:val="44"/>
          <w:szCs w:val="44"/>
        </w:rPr>
        <w:sectPr>
          <w:pgSz w:w="11906" w:h="16838"/>
          <w:pgMar w:top="1440" w:right="1800" w:bottom="1440" w:left="1800" w:header="851" w:footer="992" w:gutter="0"/>
          <w:pgNumType w:fmt="numberInDash"/>
          <w:cols w:space="720" w:num="1"/>
          <w:docGrid w:type="lines" w:linePitch="312" w:charSpace="0"/>
        </w:sect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47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工厂的建筑应满足国家或地方相关法律法规及标准的要求。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新建、改建和扩建建筑时，应遵守国家“固定资产投资项目节能评估审查制度”、“三同时制度”、“工业项目建设用地控制指标”等产业政策和有关要求。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危险品仓库、有毒有害操作间、废弃物处理间等产生污染物的房间应独立设置。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人工照明应符合GB 50034规定。</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不同场所的照明应进行分级设计。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工厂使用的专用设备应符合产业准入要求，降低能源与资源消耗，减少污染物排放。</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适用时，工厂使用的通用设备应达到相关标准中能效限定值的强制性要求。已明令禁止生产、使用的和能耗高、效率低的设备应限期淘汰更新。</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工厂使用的通用设备或其系统的实际运行效率或主要运行参数应符合该设备经济运行的要求。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pStyle w:val="19"/>
              <w:autoSpaceDE w:val="0"/>
              <w:autoSpaceDN w:val="0"/>
              <w:adjustRightInd w:val="0"/>
              <w:spacing w:before="0" w:beforeAutospacing="0" w:after="0" w:afterAutospacing="0"/>
              <w:jc w:val="both"/>
              <w:rPr>
                <w:rFonts w:ascii="Times New Roman" w:hAnsi="Times New Roman" w:eastAsia="仿宋_GB2312" w:cs="Times New Roman"/>
                <w:szCs w:val="24"/>
              </w:rPr>
            </w:pPr>
            <w:r>
              <w:rPr>
                <w:rFonts w:hint="eastAsia" w:ascii="仿宋_GB2312" w:eastAsia="仿宋_GB2312"/>
              </w:rPr>
              <w:t>工厂应依据GB 17167、GB24789等要求配备、使用和管理能源、水以及其他资源的计量器具和装置。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再生资源及能源利用：（1）可再生能源的使用占建筑总能耗的比例大于10%；（2）采用节水器具和设备，节水率不低于10%。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适用时，工厂的厂房采用多层建筑。</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工厂厂区及各房间或场所的照明尽量利用自然光。</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工艺适用时，节能灯等节能型照明设备的使用占比不低于50%。</w:t>
            </w:r>
            <w:r>
              <w:rPr>
                <w:rFonts w:ascii="Times New Roman" w:hAnsi="Times New Roman" w:eastAsia="仿宋_GB2312" w:cs="Times New Roman"/>
                <w:sz w:val="24"/>
                <w:szCs w:val="24"/>
              </w:rPr>
              <w:t>节能型照明设备有相应能效标准的，不低于标准规定节能评价值要求</w:t>
            </w:r>
            <w:r>
              <w:rPr>
                <w:rFonts w:hint="eastAsia" w:ascii="Times New Roman" w:hAnsi="Times New Roman" w:eastAsia="仿宋_GB2312" w:cs="Times New Roman"/>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工厂使用的通用用能设备采用了节能型产品或效率高、能耗低、水耗低、物耗低的产品。</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工厂应建立、实施并保持质量管理体系和职业健康安全管理体系。工厂的质量管理体系应满足GB/T 19001的要求，职业健康安全管理体系应满足GB/T 28001的要求。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工厂应建立、实施并保持环境管理体系。工厂的环境管理体系应满足GB/T 24001的要求。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工厂应建立、实施并保持能源管理体系。工厂的能源管理体系应满足GB/T 23331的要求。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工厂应优化用能结构，在保证安全、质量的前提下减少不可再生能源投入。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工厂应按照GB/T7119的要求对其开展节水评价工作，且满足GB/T18916（所有部分）中对应本行业的取水定额要求。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工厂应减少材料、尤其是有害物质的使用，评估有害物质及化学品减量使用或替代的可行性。</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 29115的要求对其原材料使用量的减少进行评价。</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工厂应制定并实施包括环保要求的选择、评价和重新评价供方的准则。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工厂应确定并实施检验或其他必要的活动，以确保采购的产品满足规定的采购要求。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重点用能单位应用电子信息化手段，发展智慧节能，建立能源管控中心，推动接入端系统建设，提高能源利用效率</w:t>
            </w:r>
            <w:r>
              <w:rPr>
                <w:rFonts w:hint="eastAsia" w:ascii="Times New Roman" w:hAnsi="Times New Roman" w:eastAsia="仿宋_GB2312" w:cs="Times New Roman"/>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r>
              <w:rPr>
                <w:rFonts w:ascii="Times New Roman" w:hAnsi="Times New Roman" w:eastAsia="仿宋_GB2312" w:cs="Times New Roman"/>
                <w:sz w:val="24"/>
                <w:szCs w:val="24"/>
              </w:rPr>
              <w:t>、“太阳能+”多能互补热能利用系统、生物质能源利用设施</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31" w:type="dxa"/>
            <w:vMerge w:val="continue"/>
            <w:vAlign w:val="center"/>
          </w:tcPr>
          <w:p>
            <w:pPr>
              <w:adjustRightInd w:val="0"/>
              <w:snapToGrid w:val="0"/>
            </w:pPr>
          </w:p>
        </w:tc>
        <w:tc>
          <w:tcPr>
            <w:tcW w:w="1443" w:type="dxa"/>
            <w:vMerge w:val="continue"/>
            <w:vAlign w:val="center"/>
          </w:tcPr>
          <w:p>
            <w:pPr>
              <w:adjustRightInd w:val="0"/>
              <w:snapToGrid w:val="0"/>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企业列入节能诊断计划，按照国家或省级要求邀请社会服务机构开展节能诊断，并根据诊断建议实施节能改造。</w:t>
            </w:r>
          </w:p>
        </w:tc>
        <w:tc>
          <w:tcPr>
            <w:tcW w:w="3473" w:type="dxa"/>
            <w:vAlign w:val="center"/>
          </w:tcPr>
          <w:p>
            <w:pPr>
              <w:adjustRightInd w:val="0"/>
              <w:snapToGrid w:val="0"/>
              <w:rPr>
                <w:rFonts w:ascii="Times New Roman" w:hAnsi="Times New Roman" w:eastAsia="仿宋_GB2312" w:cs="Times New Roman"/>
                <w:kern w:val="0"/>
                <w:sz w:val="24"/>
                <w:szCs w:val="24"/>
              </w:rPr>
            </w:pPr>
          </w:p>
        </w:tc>
        <w:tc>
          <w:tcPr>
            <w:tcW w:w="2367" w:type="dxa"/>
            <w:vAlign w:val="center"/>
          </w:tcPr>
          <w:p>
            <w:pPr>
              <w:adjustRightInd w:val="0"/>
              <w:snapToGrid w:val="0"/>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w:t>
            </w:r>
            <w:r>
              <w:rPr>
                <w:rFonts w:ascii="Times New Roman" w:hAnsi="Times New Roman" w:eastAsia="仿宋_GB2312" w:cs="Times New Roman"/>
                <w:sz w:val="24"/>
                <w:szCs w:val="24"/>
              </w:rPr>
              <w:t>再生</w:t>
            </w:r>
            <w:r>
              <w:rPr>
                <w:rFonts w:hint="eastAsia" w:ascii="Times New Roman" w:hAnsi="Times New Roman" w:eastAsia="仿宋_GB2312" w:cs="Times New Roman"/>
                <w:kern w:val="0"/>
                <w:sz w:val="24"/>
                <w:szCs w:val="24"/>
              </w:rPr>
              <w:t>料、可回收材料替代原生材料、不可回收材料。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工厂向供方提供的采购信息包含有害物质使用、可回收材料使用、能效等环保要求。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工厂在产品设计中引入</w:t>
            </w:r>
            <w:r>
              <w:rPr>
                <w:rFonts w:ascii="Times New Roman" w:hAnsi="Times New Roman" w:eastAsia="仿宋_GB2312" w:cs="Times New Roman"/>
                <w:sz w:val="24"/>
                <w:szCs w:val="24"/>
              </w:rPr>
              <w:t>绿色</w:t>
            </w:r>
            <w:r>
              <w:rPr>
                <w:rFonts w:hint="eastAsia" w:ascii="仿宋_GB2312" w:hAnsi="仿宋_GB2312" w:eastAsia="仿宋_GB2312" w:cs="仿宋_GB2312"/>
                <w:sz w:val="24"/>
                <w:szCs w:val="24"/>
              </w:rPr>
              <w:t>设计的理念</w:t>
            </w:r>
            <w:r>
              <w:rPr>
                <w:rFonts w:ascii="Times New Roman" w:hAnsi="Times New Roman" w:eastAsia="仿宋_GB2312" w:cs="Times New Roman"/>
                <w:sz w:val="24"/>
                <w:szCs w:val="24"/>
              </w:rPr>
              <w:t>，包括：减少所使用材料的种类、使用产品本身的材料或兼容材料进行标识标记、延长产品寿命等。</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工厂生产的产品（包括原料和辅料）应减少有害物质的使用，避免有害物质的泄露，满足国家对产品中有害物质限制使用的要求。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工厂生产的产品若为用能产品或在使用过程中对最终产品/构造的能耗有影响的产品，适用时，应满足相关标准的限定值要求。未制定标准的，产品能效应不低于行业平均值。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24256对生产的产品进行</w:t>
            </w:r>
            <w:r>
              <w:rPr>
                <w:rFonts w:ascii="Times New Roman" w:hAnsi="Times New Roman" w:eastAsia="仿宋_GB2312" w:cs="Times New Roman"/>
                <w:sz w:val="24"/>
                <w:szCs w:val="24"/>
              </w:rPr>
              <w:t>绿色</w:t>
            </w:r>
            <w:r>
              <w:rPr>
                <w:rFonts w:hint="eastAsia" w:ascii="Times New Roman" w:hAnsi="Times New Roman" w:eastAsia="仿宋_GB2312" w:cs="Times New Roman"/>
                <w:kern w:val="0"/>
                <w:sz w:val="24"/>
                <w:szCs w:val="24"/>
              </w:rPr>
              <w:t>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适用时，按照工业和信息化主管部门</w:t>
            </w:r>
            <w:r>
              <w:rPr>
                <w:rFonts w:hint="eastAsia" w:ascii="Times New Roman" w:hAnsi="Times New Roman" w:eastAsia="仿宋_GB2312" w:cs="Times New Roman"/>
                <w:sz w:val="24"/>
                <w:szCs w:val="24"/>
              </w:rPr>
              <w:t>采纳的</w:t>
            </w:r>
            <w:r>
              <w:rPr>
                <w:rFonts w:ascii="Times New Roman" w:hAnsi="Times New Roman" w:eastAsia="仿宋_GB2312" w:cs="Times New Roman"/>
                <w:sz w:val="24"/>
                <w:szCs w:val="24"/>
              </w:rPr>
              <w:t>绿色设计产品评价标准清单中的标准</w:t>
            </w:r>
            <w:r>
              <w:rPr>
                <w:rFonts w:hint="eastAsia" w:ascii="Times New Roman" w:hAnsi="Times New Roman" w:eastAsia="仿宋_GB2312" w:cs="Times New Roman"/>
                <w:sz w:val="24"/>
                <w:szCs w:val="24"/>
              </w:rPr>
              <w:t>或山东省地方标准</w:t>
            </w:r>
            <w:r>
              <w:rPr>
                <w:rFonts w:ascii="Times New Roman" w:hAnsi="Times New Roman" w:eastAsia="仿宋_GB2312" w:cs="Times New Roman"/>
                <w:sz w:val="24"/>
                <w:szCs w:val="24"/>
              </w:rPr>
              <w:t>对产品进行绿色设计产品评价，满足绿色产品评价要求。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实现有害物质替代。</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达到相关标准中的节能评价值/先进值要求，未制定标准的，产品能效达到行业前20%的水平。</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20862的要求计算其产品的可回收利用率。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工厂的大气污染物排放应符合相关国家标准、行业标准及地方标准要求，并满足区域内排放总量控制要求。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工厂产生的固体废弃物的处理应符合</w:t>
            </w:r>
            <w:r>
              <w:rPr>
                <w:rFonts w:ascii="Times New Roman" w:hAnsi="Times New Roman" w:eastAsia="仿宋_GB2312" w:cs="Times New Roman"/>
                <w:sz w:val="24"/>
                <w:szCs w:val="24"/>
              </w:rPr>
              <w:t>GB 18484、GB 18597、GB 18598、</w:t>
            </w:r>
            <w:r>
              <w:rPr>
                <w:rFonts w:hint="eastAsia" w:ascii="Times New Roman" w:hAnsi="Times New Roman" w:eastAsia="仿宋_GB2312" w:cs="Times New Roman"/>
                <w:kern w:val="0"/>
                <w:sz w:val="24"/>
                <w:szCs w:val="24"/>
              </w:rPr>
              <w:t>GB 18599及相关标准的要求。工厂无法自行处理的，应将固体废弃物转交给具备相应能力和资质的处理厂进行处理。</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工厂的厂界环境噪声排放应符合相关国家标准、行业标准及地方标准要求。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工厂应采用GB/T 32150或适用的标准或规范对其厂界范围内的温室气体排放进行核算和报告。</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工厂的主要大气污染物排放满足标准中更高等级的要求。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工厂的主要水体污染物排放满足标准中更高等级的要求。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1" w:type="dxa"/>
            <w:vMerge w:val="continue"/>
            <w:vAlign w:val="center"/>
          </w:tcPr>
          <w:p>
            <w:pPr>
              <w:widowControl/>
              <w:spacing w:line="276" w:lineRule="auto"/>
              <w:jc w:val="left"/>
            </w:pPr>
          </w:p>
        </w:tc>
        <w:tc>
          <w:tcPr>
            <w:tcW w:w="1443" w:type="dxa"/>
            <w:vMerge w:val="continue"/>
            <w:vAlign w:val="center"/>
          </w:tcPr>
          <w:p>
            <w:pPr>
              <w:widowControl/>
              <w:spacing w:line="276" w:lineRule="auto"/>
              <w:jc w:val="left"/>
            </w:pPr>
          </w:p>
        </w:tc>
        <w:tc>
          <w:tcPr>
            <w:tcW w:w="5060" w:type="dxa"/>
            <w:vAlign w:val="center"/>
          </w:tcPr>
          <w:p>
            <w:pPr>
              <w:widowControl/>
              <w:spacing w:line="276" w:lineRule="auto"/>
              <w:jc w:val="left"/>
              <w:rPr>
                <w:rFonts w:ascii="仿宋_GB2312" w:hAnsi="宋体" w:eastAsia="仿宋_GB2312" w:cs="宋体"/>
                <w:kern w:val="0"/>
                <w:sz w:val="24"/>
              </w:rPr>
            </w:pPr>
            <w:r>
              <w:rPr>
                <w:rFonts w:ascii="Times New Roman" w:hAnsi="Times New Roman" w:eastAsia="仿宋_GB2312" w:cs="Times New Roman"/>
                <w:sz w:val="24"/>
                <w:szCs w:val="24"/>
              </w:rPr>
              <w:t>适用时，按照国家或省级要求开展工业固废综合利用评价，并在主管部门进行信息公布。</w:t>
            </w:r>
            <w:r>
              <w:rPr>
                <w:rFonts w:hint="eastAsia" w:ascii="Times New Roman" w:hAnsi="Times New Roman" w:eastAsia="仿宋_GB2312" w:cs="Times New Roman"/>
                <w:sz w:val="24"/>
                <w:szCs w:val="24"/>
              </w:rPr>
              <w:t xml:space="preserve"> </w:t>
            </w:r>
          </w:p>
        </w:tc>
        <w:tc>
          <w:tcPr>
            <w:tcW w:w="3473" w:type="dxa"/>
            <w:vAlign w:val="center"/>
          </w:tcPr>
          <w:p>
            <w:pPr>
              <w:widowControl/>
              <w:spacing w:line="276" w:lineRule="auto"/>
              <w:jc w:val="left"/>
              <w:rPr>
                <w:rFonts w:ascii="仿宋_GB2312" w:hAnsi="宋体" w:eastAsia="仿宋_GB2312" w:cs="宋体"/>
                <w:kern w:val="0"/>
                <w:sz w:val="24"/>
              </w:rPr>
            </w:pPr>
          </w:p>
        </w:tc>
        <w:tc>
          <w:tcPr>
            <w:tcW w:w="2367" w:type="dxa"/>
            <w:vAlign w:val="center"/>
          </w:tcPr>
          <w:p>
            <w:pPr>
              <w:widowControl/>
              <w:spacing w:line="276" w:lineRule="auto"/>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可行时，利用核算或核查结果对其温室气体的排放进行改善。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1443" w:type="dxa"/>
            <w:vMerge w:val="restart"/>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容积率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建筑密度</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rPr>
              <w:t>产能（或：单位面积产值）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绿色物料使用情况（率）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7"/>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bl>
    <w:p>
      <w:pPr>
        <w:widowControl/>
        <w:jc w:val="left"/>
        <w:rPr>
          <w:rFonts w:hint="default" w:ascii="仿宋_GB2312" w:eastAsia="仿宋_GB2312"/>
          <w:sz w:val="28"/>
          <w:szCs w:val="28"/>
          <w:lang w:val="en-US" w:eastAsia="zh-CN"/>
        </w:rPr>
      </w:pPr>
    </w:p>
    <w:sectPr>
      <w:footerReference r:id="rId5"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- 3 -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- 3 -</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MlA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NKdFMYUeXr18u335cvn8m8IGg1voF8nYWmaF7bTosevR7OOPc&#10;XeVU/GIigjioPl/pFV0gPF6az+bzHCGO2PgD/OzpunU+vBFGkWgU1GF/iVZ22vrQp44psZo2m0bK&#10;tEOpSVvQm5ev8nThGgG41KgRh+ibjVbo9t0w2d6UZwzmTK8Nb/mmQfEt8+GROYgBDUPg4QFHJQ2K&#10;mMGipDbu09/8MR87QpSSFuIqqIb6KZFvNXYXdTgabjT2o6GP6s5ArVgHekk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MlA8PAgAACQQAAA4AAAAAAAAAAQAgAAAA&#10;HwEAAGRycy9lMm9Eb2MueG1sUEsFBgAAAAAGAAYAWQEAAKAFAAAAAA==&#10;">
              <v:fill on="f" focussize="0,0"/>
              <v:stroke on="f" weight="0.5pt"/>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- 2 -</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00247"/>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33626F27"/>
    <w:multiLevelType w:val="multilevel"/>
    <w:tmpl w:val="33626F27"/>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E56330A"/>
    <w:multiLevelType w:val="multilevel"/>
    <w:tmpl w:val="5E56330A"/>
    <w:lvl w:ilvl="0" w:tentative="0">
      <w:start w:val="1"/>
      <w:numFmt w:val="upperLetter"/>
      <w:pStyle w:val="20"/>
      <w:lvlText w:val="%1"/>
      <w:lvlJc w:val="left"/>
      <w:pPr>
        <w:tabs>
          <w:tab w:val="left" w:pos="0"/>
        </w:tabs>
        <w:ind w:left="0" w:hanging="425"/>
      </w:pPr>
      <w:rPr>
        <w:rFonts w:hint="eastAsia"/>
      </w:rPr>
    </w:lvl>
    <w:lvl w:ilvl="1" w:tentative="0">
      <w:start w:val="1"/>
      <w:numFmt w:val="decimal"/>
      <w:pStyle w:val="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53"/>
    <w:rsid w:val="00026865"/>
    <w:rsid w:val="00054877"/>
    <w:rsid w:val="000B5FAC"/>
    <w:rsid w:val="000D23FE"/>
    <w:rsid w:val="0010253B"/>
    <w:rsid w:val="00167C23"/>
    <w:rsid w:val="00181FCF"/>
    <w:rsid w:val="002151A7"/>
    <w:rsid w:val="002511DD"/>
    <w:rsid w:val="002634AD"/>
    <w:rsid w:val="00281BFF"/>
    <w:rsid w:val="002C44A3"/>
    <w:rsid w:val="002D25C9"/>
    <w:rsid w:val="002F4700"/>
    <w:rsid w:val="00361E99"/>
    <w:rsid w:val="003753AB"/>
    <w:rsid w:val="003D5C37"/>
    <w:rsid w:val="004A66A4"/>
    <w:rsid w:val="004B4563"/>
    <w:rsid w:val="004C351F"/>
    <w:rsid w:val="004C4A87"/>
    <w:rsid w:val="004F75CD"/>
    <w:rsid w:val="00535B37"/>
    <w:rsid w:val="00553370"/>
    <w:rsid w:val="00563C96"/>
    <w:rsid w:val="00581509"/>
    <w:rsid w:val="005824F2"/>
    <w:rsid w:val="005A15B5"/>
    <w:rsid w:val="005A6764"/>
    <w:rsid w:val="00626B48"/>
    <w:rsid w:val="006E2190"/>
    <w:rsid w:val="006E2806"/>
    <w:rsid w:val="00745618"/>
    <w:rsid w:val="007807D0"/>
    <w:rsid w:val="007A3A12"/>
    <w:rsid w:val="008464D2"/>
    <w:rsid w:val="00855FDD"/>
    <w:rsid w:val="0086668F"/>
    <w:rsid w:val="008A6AA3"/>
    <w:rsid w:val="008D1430"/>
    <w:rsid w:val="00913FCB"/>
    <w:rsid w:val="00961E63"/>
    <w:rsid w:val="00992FD8"/>
    <w:rsid w:val="00A63D53"/>
    <w:rsid w:val="00AA2D77"/>
    <w:rsid w:val="00AC3008"/>
    <w:rsid w:val="00AD31FF"/>
    <w:rsid w:val="00B313F0"/>
    <w:rsid w:val="00B37253"/>
    <w:rsid w:val="00B85D20"/>
    <w:rsid w:val="00B96FA7"/>
    <w:rsid w:val="00CE6A27"/>
    <w:rsid w:val="00D67D9F"/>
    <w:rsid w:val="00D930AA"/>
    <w:rsid w:val="00E24711"/>
    <w:rsid w:val="00E405A3"/>
    <w:rsid w:val="00E95FEC"/>
    <w:rsid w:val="00ED0405"/>
    <w:rsid w:val="00EE0AA3"/>
    <w:rsid w:val="00F006DC"/>
    <w:rsid w:val="017A2DF7"/>
    <w:rsid w:val="12CB1FA0"/>
    <w:rsid w:val="1C181A72"/>
    <w:rsid w:val="25791DB7"/>
    <w:rsid w:val="29FD19CE"/>
    <w:rsid w:val="3BB3453E"/>
    <w:rsid w:val="3D447209"/>
    <w:rsid w:val="3E324BB3"/>
    <w:rsid w:val="40C77BCF"/>
    <w:rsid w:val="42B476F3"/>
    <w:rsid w:val="42DC6829"/>
    <w:rsid w:val="43EE29C2"/>
    <w:rsid w:val="49796242"/>
    <w:rsid w:val="53542669"/>
    <w:rsid w:val="54E6260F"/>
    <w:rsid w:val="5B596AF2"/>
    <w:rsid w:val="665449ED"/>
    <w:rsid w:val="67B63A74"/>
    <w:rsid w:val="69F1646C"/>
    <w:rsid w:val="6B122EAC"/>
    <w:rsid w:val="7DB07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rPr>
      <w:rFonts w:ascii="Calibri" w:hAnsi="Calibri"/>
    </w:rPr>
  </w:style>
  <w:style w:type="paragraph" w:styleId="3">
    <w:name w:val="Balloon Text"/>
    <w:basedOn w:val="1"/>
    <w:link w:val="16"/>
    <w:qFormat/>
    <w:uiPriority w:val="0"/>
    <w:rPr>
      <w:rFonts w:ascii="Calibri" w:hAnsi="Calibri" w:eastAsia="宋体" w:cs="黑体"/>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2"/>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页眉 字符"/>
    <w:basedOn w:val="10"/>
    <w:link w:val="5"/>
    <w:qFormat/>
    <w:uiPriority w:val="0"/>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qFormat/>
    <w:uiPriority w:val="0"/>
    <w:rPr>
      <w:rFonts w:ascii="Calibri" w:hAnsi="Calibri" w:eastAsia="宋体" w:cs="黑体"/>
      <w:sz w:val="18"/>
      <w:szCs w:val="18"/>
    </w:rPr>
  </w:style>
  <w:style w:type="paragraph" w:customStyle="1" w:styleId="17">
    <w:name w:val="列出段落1"/>
    <w:basedOn w:val="1"/>
    <w:qFormat/>
    <w:uiPriority w:val="34"/>
    <w:pPr>
      <w:ind w:firstLine="420" w:firstLineChars="200"/>
    </w:pPr>
    <w:rPr>
      <w:rFonts w:ascii="Calibri" w:hAnsi="Calibri" w:eastAsia="宋体" w:cs="黑体"/>
    </w:rPr>
  </w:style>
  <w:style w:type="paragraph" w:customStyle="1" w:styleId="18">
    <w:name w:val="列出段落2"/>
    <w:basedOn w:val="1"/>
    <w:qFormat/>
    <w:uiPriority w:val="99"/>
    <w:pPr>
      <w:ind w:firstLine="420" w:firstLineChars="200"/>
    </w:pPr>
    <w:rPr>
      <w:rFonts w:ascii="Calibri" w:hAnsi="Calibri" w:eastAsia="宋体" w:cs="黑体"/>
    </w:rPr>
  </w:style>
  <w:style w:type="paragraph" w:customStyle="1" w:styleId="19">
    <w:name w:val="列出段落3"/>
    <w:basedOn w:val="1"/>
    <w:qFormat/>
    <w:uiPriority w:val="34"/>
    <w:pPr>
      <w:widowControl/>
      <w:spacing w:before="100" w:beforeAutospacing="1" w:after="100" w:afterAutospacing="1"/>
      <w:jc w:val="left"/>
    </w:pPr>
    <w:rPr>
      <w:rFonts w:ascii="宋体" w:hAnsi="宋体" w:eastAsia="宋体" w:cs="宋体"/>
      <w:kern w:val="0"/>
      <w:sz w:val="24"/>
    </w:rPr>
  </w:style>
  <w:style w:type="paragraph" w:customStyle="1" w:styleId="20">
    <w:name w:val="附录表标号"/>
    <w:basedOn w:val="1"/>
    <w:next w:val="1"/>
    <w:qFormat/>
    <w:uiPriority w:val="0"/>
    <w:pPr>
      <w:numPr>
        <w:ilvl w:val="0"/>
        <w:numId w:val="1"/>
      </w:numPr>
      <w:spacing w:line="14" w:lineRule="exact"/>
      <w:jc w:val="center"/>
      <w:outlineLvl w:val="0"/>
    </w:pPr>
    <w:rPr>
      <w:rFonts w:ascii="Times New Roman" w:hAnsi="Times New Roman" w:eastAsia="宋体" w:cs="Times New Roman"/>
      <w:color w:val="FFFFFF"/>
      <w:szCs w:val="24"/>
    </w:rPr>
  </w:style>
  <w:style w:type="paragraph" w:customStyle="1" w:styleId="21">
    <w:name w:val="附录表标题"/>
    <w:basedOn w:val="1"/>
    <w:next w:val="1"/>
    <w:qFormat/>
    <w:uiPriority w:val="0"/>
    <w:pPr>
      <w:numPr>
        <w:ilvl w:val="1"/>
        <w:numId w:val="1"/>
      </w:numPr>
      <w:spacing w:before="50" w:beforeLines="50" w:after="50" w:afterLines="50"/>
      <w:jc w:val="center"/>
    </w:pPr>
    <w:rPr>
      <w:rFonts w:ascii="黑体" w:hAnsi="Times New Roman" w:eastAsia="黑体" w:cs="Times New Roman"/>
      <w:szCs w:val="21"/>
    </w:rPr>
  </w:style>
  <w:style w:type="character" w:customStyle="1" w:styleId="22">
    <w:name w:val="批注主题 字符"/>
    <w:link w:val="7"/>
    <w:qFormat/>
    <w:uiPriority w:val="0"/>
    <w:rPr>
      <w:rFonts w:ascii="Calibri" w:hAnsi="Calibri"/>
      <w:b/>
      <w:bCs/>
    </w:rPr>
  </w:style>
  <w:style w:type="character" w:customStyle="1" w:styleId="23">
    <w:name w:val="批注文字 字符"/>
    <w:link w:val="2"/>
    <w:qFormat/>
    <w:uiPriority w:val="0"/>
    <w:rPr>
      <w:rFonts w:ascii="Calibri" w:hAnsi="Calibri"/>
    </w:rPr>
  </w:style>
  <w:style w:type="character" w:customStyle="1" w:styleId="24">
    <w:name w:val="批注文字 字符1"/>
    <w:basedOn w:val="10"/>
    <w:semiHidden/>
    <w:qFormat/>
    <w:uiPriority w:val="99"/>
  </w:style>
  <w:style w:type="character" w:customStyle="1" w:styleId="25">
    <w:name w:val="批注主题 字符1"/>
    <w:basedOn w:val="24"/>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5EEFC-9721-4B07-83B3-767C9FECE056}">
  <ds:schemaRefs/>
</ds:datastoreItem>
</file>

<file path=docProps/app.xml><?xml version="1.0" encoding="utf-8"?>
<Properties xmlns="http://schemas.openxmlformats.org/officeDocument/2006/extended-properties" xmlns:vt="http://schemas.openxmlformats.org/officeDocument/2006/docPropsVTypes">
  <Template>Normal</Template>
  <Pages>73</Pages>
  <Words>4317</Words>
  <Characters>24607</Characters>
  <Lines>205</Lines>
  <Paragraphs>57</Paragraphs>
  <TotalTime>3</TotalTime>
  <ScaleCrop>false</ScaleCrop>
  <LinksUpToDate>false</LinksUpToDate>
  <CharactersWithSpaces>28867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2019-09-26T07:37:00Z</dcterms:created>
  <dc:creator>Windows 用户</dc:creator>
  <cp:lastModifiedBy>Administrator</cp:lastModifiedBy>
  <dcterms:modified xsi:type="dcterms:W3CDTF">2021-05-12T01:27:35Z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