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A24F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600" w:lineRule="exact"/>
        <w:jc w:val="center"/>
        <w:textAlignment w:val="auto"/>
        <w:rPr>
          <w:rFonts w:hint="default" w:ascii="方正小标宋简体" w:hAnsi="方正小标宋简体" w:eastAsia="方正小标宋简体" w:cs="方正小标宋简体"/>
          <w:kern w:val="0"/>
          <w:sz w:val="44"/>
          <w:szCs w:val="44"/>
          <w:lang w:bidi="ar"/>
        </w:rPr>
      </w:pPr>
      <w:bookmarkStart w:id="0" w:name="_GoBack"/>
      <w:bookmarkEnd w:id="0"/>
      <w:r>
        <w:rPr>
          <w:rFonts w:hint="default" w:ascii="方正小标宋简体" w:hAnsi="方正小标宋简体" w:eastAsia="方正小标宋简体" w:cs="方正小标宋简体"/>
          <w:kern w:val="0"/>
          <w:sz w:val="44"/>
          <w:szCs w:val="44"/>
          <w:lang w:bidi="ar"/>
        </w:rPr>
        <w:t>关于《山东省智能网联新能源汽车产业高质量发展行动计划（2026—2030年）》的</w:t>
      </w:r>
    </w:p>
    <w:p w14:paraId="3EDD4F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bidi="ar"/>
        </w:rPr>
      </w:pPr>
      <w:r>
        <w:rPr>
          <w:rFonts w:hint="default" w:ascii="方正小标宋简体" w:hAnsi="方正小标宋简体" w:eastAsia="方正小标宋简体" w:cs="方正小标宋简体"/>
          <w:kern w:val="0"/>
          <w:sz w:val="44"/>
          <w:szCs w:val="44"/>
          <w:lang w:bidi="ar"/>
        </w:rPr>
        <w:t>起草说明</w:t>
      </w:r>
    </w:p>
    <w:p w14:paraId="01822585">
      <w:pPr>
        <w:spacing w:line="600" w:lineRule="exact"/>
        <w:ind w:firstLine="640" w:firstLineChars="200"/>
        <w:jc w:val="right"/>
        <w:rPr>
          <w:rFonts w:hint="default" w:ascii="仿宋_GB2312" w:hAnsi="仿宋_GB2312" w:eastAsia="仿宋_GB2312" w:cs="仿宋_GB2312"/>
          <w:kern w:val="0"/>
          <w:sz w:val="32"/>
          <w:szCs w:val="32"/>
          <w:lang w:bidi="ar"/>
        </w:rPr>
      </w:pPr>
    </w:p>
    <w:p w14:paraId="11C6A1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kern w:val="0"/>
          <w:sz w:val="32"/>
          <w:szCs w:val="32"/>
          <w:lang w:bidi="ar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bidi="ar"/>
        </w:rPr>
        <w:t>一、制定背景</w:t>
      </w:r>
    </w:p>
    <w:p w14:paraId="6C584C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kern w:val="0"/>
          <w:sz w:val="32"/>
          <w:szCs w:val="32"/>
          <w:lang w:bidi="ar"/>
        </w:rPr>
      </w:pPr>
      <w:r>
        <w:rPr>
          <w:rFonts w:hint="default" w:ascii="仿宋_GB2312" w:hAnsi="仿宋_GB2312" w:eastAsia="仿宋_GB2312" w:cs="仿宋_GB2312"/>
          <w:kern w:val="0"/>
          <w:sz w:val="32"/>
          <w:szCs w:val="32"/>
          <w:lang w:bidi="ar"/>
        </w:rPr>
        <w:t>智能网联新能源汽车是汽车产业转型升级的主要方向，是新质生产力的典型代表，对推动我省装备制造业提质增效、培育经济发展新增长点具有重大意义。近年来，我省汽车产业规模持续壮大，新能源汽车整车及动力电池、关键零部件配套体系加快完善，产业发展基础日益坚实。</w:t>
      </w:r>
    </w:p>
    <w:p w14:paraId="51B45E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kern w:val="0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2026年9月，工信部等九部门联合印发《智能网联新能源汽车产业发展“十五五”规划》（工信部联规函〔2026〕305号，以下简称《规划》），《规划》提出要把握智能化、绿色化、融合化发展方向，突破关键核心技术，加快产业优化升级，促进跨界融合发展，完善行业治理体系，努力开创全球产业合作新局面，到2030年，我国智能网联新能源汽车全产业链优势进一步巩固、进入世界汽车强国行列。</w:t>
      </w:r>
      <w:r>
        <w:rPr>
          <w:rFonts w:hint="default" w:ascii="仿宋_GB2312" w:hAnsi="仿宋_GB2312" w:eastAsia="仿宋_GB2312" w:cs="仿宋_GB2312"/>
          <w:kern w:val="0"/>
          <w:sz w:val="32"/>
          <w:szCs w:val="32"/>
          <w:lang w:bidi="ar"/>
        </w:rPr>
        <w:t>为贯彻落实国家部署，抢抓产业变革机遇，加快推动我省智能网联新能源汽车产业高质量发展，做强做大高端装备产业，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特</w:t>
      </w:r>
      <w:r>
        <w:rPr>
          <w:rFonts w:hint="default" w:ascii="仿宋_GB2312" w:hAnsi="仿宋_GB2312" w:eastAsia="仿宋_GB2312" w:cs="仿宋_GB2312"/>
          <w:kern w:val="0"/>
          <w:sz w:val="32"/>
          <w:szCs w:val="32"/>
          <w:lang w:bidi="ar"/>
        </w:rPr>
        <w:t>制定《山东省智能网联新能源汽车产业高质量发展行动计划（2026—2030年）》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 w:bidi="ar"/>
        </w:rPr>
        <w:t>（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以下简称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 w:bidi="ar"/>
        </w:rPr>
        <w:t>《</w:t>
      </w:r>
      <w:r>
        <w:rPr>
          <w:rFonts w:hint="default" w:ascii="仿宋_GB2312" w:hAnsi="仿宋_GB2312" w:eastAsia="仿宋_GB2312" w:cs="仿宋_GB2312"/>
          <w:kern w:val="0"/>
          <w:sz w:val="32"/>
          <w:szCs w:val="32"/>
          <w:lang w:bidi="ar"/>
        </w:rPr>
        <w:t>行动计划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 w:bidi="ar"/>
        </w:rPr>
        <w:t>》）</w:t>
      </w:r>
      <w:r>
        <w:rPr>
          <w:rFonts w:hint="default" w:ascii="仿宋_GB2312" w:hAnsi="仿宋_GB2312" w:eastAsia="仿宋_GB2312" w:cs="仿宋_GB2312"/>
          <w:kern w:val="0"/>
          <w:sz w:val="32"/>
          <w:szCs w:val="32"/>
          <w:lang w:bidi="ar"/>
        </w:rPr>
        <w:t>。</w:t>
      </w:r>
    </w:p>
    <w:p w14:paraId="7A2772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kern w:val="0"/>
          <w:sz w:val="32"/>
          <w:szCs w:val="32"/>
          <w:lang w:bidi="ar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bidi="ar"/>
        </w:rPr>
        <w:t>二、起草过程及征求意见情况</w:t>
      </w:r>
    </w:p>
    <w:p w14:paraId="73111F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kern w:val="0"/>
          <w:sz w:val="32"/>
          <w:szCs w:val="32"/>
          <w:lang w:bidi="ar"/>
        </w:rPr>
      </w:pPr>
      <w:r>
        <w:rPr>
          <w:rFonts w:hint="default" w:ascii="仿宋_GB2312" w:hAnsi="仿宋_GB2312" w:eastAsia="仿宋_GB2312" w:cs="仿宋_GB2312"/>
          <w:kern w:val="0"/>
          <w:sz w:val="32"/>
          <w:szCs w:val="32"/>
          <w:lang w:bidi="ar"/>
        </w:rPr>
        <w:t>在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国家《智能网联新能源汽车产业发展“十五五”规划》</w:t>
      </w:r>
      <w:r>
        <w:rPr>
          <w:rFonts w:hint="default" w:ascii="仿宋_GB2312" w:hAnsi="仿宋_GB2312" w:eastAsia="仿宋_GB2312" w:cs="仿宋_GB2312"/>
          <w:kern w:val="0"/>
          <w:sz w:val="32"/>
          <w:szCs w:val="32"/>
          <w:lang w:bidi="ar"/>
        </w:rPr>
        <w:t>等相关文件精神基础上，省工业和信息化厅会同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有关专业机构</w:t>
      </w:r>
      <w:r>
        <w:rPr>
          <w:rFonts w:hint="default" w:ascii="仿宋_GB2312" w:hAnsi="仿宋_GB2312" w:eastAsia="仿宋_GB2312" w:cs="仿宋_GB2312"/>
          <w:kern w:val="0"/>
          <w:sz w:val="32"/>
          <w:szCs w:val="32"/>
          <w:lang w:bidi="ar"/>
        </w:rPr>
        <w:t>及专家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 w:bidi="ar"/>
        </w:rPr>
        <w:t>，</w:t>
      </w:r>
      <w:r>
        <w:rPr>
          <w:rFonts w:hint="default" w:ascii="仿宋_GB2312" w:hAnsi="仿宋_GB2312" w:eastAsia="仿宋_GB2312" w:cs="仿宋_GB2312"/>
          <w:kern w:val="0"/>
          <w:sz w:val="32"/>
          <w:szCs w:val="32"/>
          <w:lang w:bidi="ar"/>
        </w:rPr>
        <w:t>结合我省汽车产业发展基础和企业实际，深入分析产业链关键环节的短板弱项以及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发展</w:t>
      </w:r>
      <w:r>
        <w:rPr>
          <w:rFonts w:hint="default" w:ascii="仿宋_GB2312" w:hAnsi="仿宋_GB2312" w:eastAsia="仿宋_GB2312" w:cs="仿宋_GB2312"/>
          <w:kern w:val="0"/>
          <w:sz w:val="32"/>
          <w:szCs w:val="32"/>
          <w:lang w:bidi="ar"/>
        </w:rPr>
        <w:t>需求，并赴济南、青岛等重点市开展专题调研，形成了《行动计划》初稿。2026年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9</w:t>
      </w:r>
      <w:r>
        <w:rPr>
          <w:rFonts w:hint="default" w:ascii="仿宋_GB2312" w:hAnsi="仿宋_GB2312" w:eastAsia="仿宋_GB2312" w:cs="仿宋_GB2312"/>
          <w:kern w:val="0"/>
          <w:sz w:val="32"/>
          <w:szCs w:val="32"/>
          <w:lang w:bidi="ar"/>
        </w:rPr>
        <w:t>月，征求了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省委金融办、</w:t>
      </w:r>
      <w:r>
        <w:rPr>
          <w:rFonts w:hint="default" w:ascii="仿宋_GB2312" w:hAnsi="仿宋_GB2312" w:eastAsia="仿宋_GB2312" w:cs="仿宋_GB2312"/>
          <w:kern w:val="0"/>
          <w:sz w:val="32"/>
          <w:szCs w:val="32"/>
          <w:lang w:bidi="ar"/>
        </w:rPr>
        <w:t>省发展改革委等省有关部门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和企业、协会</w:t>
      </w:r>
      <w:r>
        <w:rPr>
          <w:rFonts w:hint="default" w:ascii="仿宋_GB2312" w:hAnsi="仿宋_GB2312" w:eastAsia="仿宋_GB2312" w:cs="仿宋_GB2312"/>
          <w:kern w:val="0"/>
          <w:sz w:val="32"/>
          <w:szCs w:val="32"/>
          <w:lang w:bidi="ar"/>
        </w:rPr>
        <w:t>意见，并对相关企业、协会反馈的意见建议进行了充分吸收采纳。</w:t>
      </w:r>
    </w:p>
    <w:p w14:paraId="5DDDC8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kern w:val="0"/>
          <w:sz w:val="32"/>
          <w:szCs w:val="32"/>
          <w:lang w:bidi="ar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bidi="ar"/>
        </w:rPr>
        <w:t>三、主要内容</w:t>
      </w:r>
    </w:p>
    <w:p w14:paraId="6286F8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kern w:val="0"/>
          <w:sz w:val="32"/>
          <w:szCs w:val="32"/>
          <w:lang w:bidi="ar"/>
        </w:rPr>
      </w:pPr>
      <w:r>
        <w:rPr>
          <w:rFonts w:hint="default" w:ascii="仿宋_GB2312" w:hAnsi="仿宋_GB2312" w:eastAsia="仿宋_GB2312" w:cs="仿宋_GB2312"/>
          <w:kern w:val="0"/>
          <w:sz w:val="32"/>
          <w:szCs w:val="32"/>
          <w:lang w:bidi="ar"/>
        </w:rPr>
        <w:t>《行动计划》共三个部分，主要内容包括：</w:t>
      </w:r>
    </w:p>
    <w:p w14:paraId="6E58EE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lang w:val="en-US" w:eastAsia="zh-CN" w:bidi="ar"/>
        </w:rPr>
        <w:t>1.总体要求：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阐明指导思想和主攻方向，提出聚焦智能化、绿色化、融合化，着力突破关键核心技术、持续壮大行业企业、不断提升配套水平、完善基础设施体系，力争到2030年新能源汽车产业营业收入达到5000亿元左右、新能源汽车占汽车比重达到55%，加快打造全国重要的智能网联新能源汽车生产基地和产业创新高地。</w:t>
      </w:r>
    </w:p>
    <w:p w14:paraId="6DAD10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lang w:val="en-US" w:eastAsia="zh-CN" w:bidi="ar"/>
        </w:rPr>
        <w:t>2.重点任务：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部署实施产业链创新突破、整车高端化跃升、人工智能全面赋能、多领域跨界融合、产业绿色低碳转型、行业治理体系健全等六大行动，配套设置智能网联新能源汽车关键技术及零部件、产业发展布局、“人工智能+汽车”发展行动等3个专栏，细化重点领域主攻方向。</w:t>
      </w:r>
    </w:p>
    <w:p w14:paraId="43E385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lang w:val="en-US" w:eastAsia="zh-CN" w:bidi="ar"/>
        </w:rPr>
        <w:t>3.保障措施：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提出充分发挥汽车标志性产业链“链长制”工作机制作用，强化部门协同、省市联动，统筹推进重大项目落地实施，常态化开展产业运行监测；支持智能网联新能源汽车技改项目落地实施，发挥“金融链主”作用，夯实产业人才供给保障。</w:t>
      </w:r>
    </w:p>
    <w:p w14:paraId="191ABF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bidi="ar"/>
        </w:rPr>
        <w:t>四、文件印发方式和实施日期</w:t>
      </w:r>
    </w:p>
    <w:p w14:paraId="21F53D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kern w:val="0"/>
          <w:sz w:val="32"/>
          <w:szCs w:val="32"/>
          <w:lang w:bidi="ar"/>
        </w:rPr>
      </w:pPr>
      <w:r>
        <w:rPr>
          <w:rFonts w:hint="default" w:ascii="仿宋_GB2312" w:hAnsi="仿宋_GB2312" w:eastAsia="仿宋_GB2312" w:cs="仿宋_GB2312"/>
          <w:kern w:val="0"/>
          <w:sz w:val="32"/>
          <w:szCs w:val="32"/>
          <w:lang w:bidi="ar"/>
        </w:rPr>
        <w:t>《行动计划》拟以部门联合形式印发，至2030年12月31日有效。</w:t>
      </w:r>
    </w:p>
    <w:p w14:paraId="7BB7B9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default" w:ascii="仿宋_GB2312" w:hAnsi="仿宋_GB2312" w:eastAsia="仿宋_GB2312" w:cs="仿宋_GB2312"/>
          <w:kern w:val="0"/>
          <w:sz w:val="32"/>
          <w:szCs w:val="32"/>
          <w:lang w:bidi="ar"/>
        </w:rPr>
      </w:pPr>
    </w:p>
    <w:p w14:paraId="37C6F9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96F5A14-D550-4BF3-8EC3-F698D3BBFC1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A5E043CD-D1E8-4122-B980-611FD5CFCFAF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785565DC-1306-494F-BB70-6ABDD4030147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EE47C0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91ECE32">
                          <w:pPr>
                            <w:pStyle w:val="3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91ECE32">
                    <w:pPr>
                      <w:pStyle w:val="3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6"/>
  <w:embedSystemFonts/>
  <w:bordersDoNotSurroundHeader w:val="0"/>
  <w:bordersDoNotSurroundFooter w:val="0"/>
  <w:trackRevisions w:val="1"/>
  <w:documentProtection w:enforcement="0"/>
  <w:defaultTabStop w:val="420"/>
  <w:drawingGridHorizontalSpacing w:val="158"/>
  <w:drawingGridVerticalSpacing w:val="290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BlOGFjYzQ3NmZmMDBlODljYWRkNTkxYzFmYWQ1ZTkifQ=="/>
  </w:docVars>
  <w:rsids>
    <w:rsidRoot w:val="00000000"/>
    <w:rsid w:val="08441E44"/>
    <w:rsid w:val="1F543D74"/>
    <w:rsid w:val="23024E40"/>
    <w:rsid w:val="23E372C3"/>
    <w:rsid w:val="2CC874F9"/>
    <w:rsid w:val="35404521"/>
    <w:rsid w:val="37157AC4"/>
    <w:rsid w:val="480153CD"/>
    <w:rsid w:val="4A4C0246"/>
    <w:rsid w:val="50550DAF"/>
    <w:rsid w:val="5F750196"/>
    <w:rsid w:val="70F06C64"/>
    <w:rsid w:val="7B020B10"/>
    <w:rsid w:val="7E983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autoRedefine/>
    <w:unhideWhenUsed/>
    <w:qFormat/>
    <w:uiPriority w:val="0"/>
    <w:pPr>
      <w:spacing w:beforeAutospacing="1" w:afterAutospacing="1"/>
      <w:jc w:val="left"/>
      <w:outlineLvl w:val="1"/>
    </w:pPr>
    <w:rPr>
      <w:rFonts w:hint="eastAsia" w:ascii="宋体" w:hAnsi="宋体"/>
      <w:b/>
      <w:kern w:val="0"/>
      <w:sz w:val="36"/>
      <w:szCs w:val="36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rPr>
      <w:sz w:val="24"/>
    </w:rPr>
  </w:style>
  <w:style w:type="character" w:styleId="8">
    <w:name w:val="Strong"/>
    <w:basedOn w:val="7"/>
    <w:autoRedefine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5a217540-996e-417b-87f8-0a9d9513b3a1</errorID>
      <errorWord>源</errorWord>
      <group>L1_Word</group>
      <groupName>字词问题</groupName>
      <ability>L2_Typo</ability>
      <abilityName>字词错误</abilityName>
      <candidateList>
        <item>源和</item>
      </candidateList>
      <explain/>
      <paraID>1E6F9F9D</paraID>
      <start>105</start>
      <end>106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304a564-e1fb-4383-aa4f-c183f2c3a09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1111</Words>
  <Characters>1153</Characters>
  <Lines>0</Lines>
  <Paragraphs>0</Paragraphs>
  <TotalTime>23</TotalTime>
  <ScaleCrop>false</ScaleCrop>
  <LinksUpToDate>false</LinksUpToDate>
  <CharactersWithSpaces>1153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2026-01-16T10:37:00Z</dcterms:created>
  <dc:creator>zheng</dc:creator>
  <cp:lastModifiedBy>li</cp:lastModifiedBy>
  <dcterms:modified xsi:type="dcterms:W3CDTF">2026-09-29T07:06:14Z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eyJoZGlkIjoiYmM4Yjg2NTc4ZTM4MjRhZTliMTU5NWE1YTM2ODA4Y2QiLCJ1c2VySWQiOiI2NjgxNTc3NzkifQ==</vt:lpwstr>
  </property>
  <property fmtid="{D5CDD505-2E9C-101B-9397-08002B2CF9AE}" pid="4" name="ICV">
    <vt:lpwstr>3A9AB092FE4A4C7998FE19EDBC53FDF7_13</vt:lpwstr>
  </property>
  <property fmtid="{D5CDD505-2E9C-101B-9397-08002B2CF9AE}" pid="5" name="AIGC">
    <vt:lpwstr>{"Label":"1","ContentProducer":"001191440300708461136T1WFUO","ProduceID":"3562f20f295197e43123af9ae442bc4d-Zrbb","ReservedCode1":"{\"Type\":\" TC260PG\",\"Version\":1,\"Bindings\":[{\"Type\":\"soft\",\"AlgID\":\"sm3\",\"Value\":\"9f60586d6a4c8f53bbac9b0a92435dbadf9eb61b3b9aa120cc83ba2fb950bae2\"},{\"Type\":\"hash\",\"AlgID\":\"sm3\",\"Value\":\"c70b753bd88d1a9ceb67abc337f54ed7add7ad621a1b296022d15691a0889469\"}],\"PubSD\":[{\"Type\":\"DS\",\"AlgID\":\"sm2\",\"TBSData\":{\"Type\":\"Binding\",\"BType\":\"hash\"},\"Signature\":\"3045022100e275f0fade80179c56ee0e4d1a03806ba0c386990d8a02085d6da3358a95d939022012a3b021413feace9098a24fb036f7859d2763a7ef0151a6f969df7b921cc70f\"},{\"Type\":\"PubKey\",\"AlgID\":\"sm2\",\"KeyValue\":\"0407f79b28a17a752b3aae4305c98b48978213832729a2571850b1310b2bc9fe8fee039ccf25ebfeac27502414d9fcef792d777183c98893d226171c2f7a3289a2\"}],\"Extension\":{\"Timestamp\":1789540719,\"KeyVersion\":\"v1-TxLeOmf7bqU223\"}}","ContentPropagator":"001191440300708461136T1WFUO","PropagateID":"3562f20f295197e43123af9ae442bc4d-Zrbb","ReservedCode2":"{\"Type\":\" TC260PG\",\"Version\":1,\"Bindings\":[{\"Type\":\"soft\",\"AlgID\":\"sm3\",\"Value\":\"9f60586d6a4c8f53bbac9b0a92435dbadf9eb61b3b9aa120cc83ba2fb950bae2\"},{\"Type\":\"hash\",\"AlgID\":\"sm3\",\"Value\":\"c70b753bd88d1a9ceb67abc337f54ed7add7ad621a1b296022d15691a0889469\"}],\"PubSD\":[{\"Type\":\"DS\",\"AlgID\":\"sm2\",\"TBSData\":{\"Type\":\"Binding\",\"BType\":\"hash\"},\"Signature\":\"304402206a2a7f8f7c787368a2331a6be83766f067a2a9c5c3a7632912014c797b641b3d022062f0ad3b490b5bb923d3c28c66b0db1d10543ea5138a034b1d791545ba5e135b\"},{\"Type\":\"PubKey\",\"AlgID\":\"sm2\",\"KeyValue\":\"0407f79b28a17a752b3aae4305c98b48978213832729a2571850b1310b2bc9fe8fee039ccf25ebfeac27502414d9fcef792d777183c98893d226171c2f7a3289a2\"}],\"Extension\":{\"Timestamp\":1789540719,\"KeyVersion\":\"v1-TxLeOmf7bqU223\"}}"}</vt:lpwstr>
  </property>
</Properties>
</file>