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9941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p>
    <w:p w14:paraId="7029EC1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附件</w:t>
      </w:r>
    </w:p>
    <w:p w14:paraId="268C5B9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p>
    <w:p w14:paraId="4CCBFC9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山东省“人工智能+软件”发展行动</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计划</w:t>
      </w:r>
      <w:r>
        <w:rPr>
          <w:rFonts w:hint="default" w:ascii="Times New Roman" w:hAnsi="Times New Roman" w:eastAsia="方正小标宋简体" w:cs="Times New Roman"/>
          <w:b w:val="0"/>
          <w:bCs w:val="0"/>
          <w:color w:val="000000" w:themeColor="text1"/>
          <w:sz w:val="44"/>
          <w:szCs w:val="44"/>
          <w14:textFill>
            <w14:solidFill>
              <w14:schemeClr w14:val="tx1"/>
            </w14:solidFill>
          </w14:textFill>
        </w:rPr>
        <w:t>（2026</w:t>
      </w:r>
      <w:r>
        <w:rPr>
          <w:rFonts w:hint="default" w:ascii="Times New Roman" w:hAnsi="Times New Roman" w:eastAsia="方正小标宋简体" w:cs="Times New Roman"/>
          <w:b w:val="0"/>
          <w:bCs w:val="0"/>
          <w:color w:val="000000" w:themeColor="text1"/>
          <w:sz w:val="44"/>
          <w:szCs w:val="44"/>
          <w:lang w:eastAsia="zh-CN"/>
          <w14:textFill>
            <w14:solidFill>
              <w14:schemeClr w14:val="tx1"/>
            </w14:solidFill>
          </w14:textFill>
        </w:rPr>
        <w:t>—</w:t>
      </w:r>
      <w:r>
        <w:rPr>
          <w:rFonts w:hint="default" w:ascii="Times New Roman" w:hAnsi="Times New Roman" w:eastAsia="方正小标宋简体" w:cs="Times New Roman"/>
          <w:b w:val="0"/>
          <w:bCs w:val="0"/>
          <w:color w:val="000000" w:themeColor="text1"/>
          <w:sz w:val="44"/>
          <w:szCs w:val="44"/>
          <w14:textFill>
            <w14:solidFill>
              <w14:schemeClr w14:val="tx1"/>
            </w14:solidFill>
          </w14:textFill>
        </w:rPr>
        <w:t>2028</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年</w:t>
      </w:r>
      <w:r>
        <w:rPr>
          <w:rFonts w:hint="default" w:ascii="Times New Roman" w:hAnsi="Times New Roman" w:eastAsia="方正小标宋简体" w:cs="Times New Roman"/>
          <w:b w:val="0"/>
          <w:bCs w:val="0"/>
          <w:color w:val="000000" w:themeColor="text1"/>
          <w:sz w:val="44"/>
          <w:szCs w:val="44"/>
          <w14:textFill>
            <w14:solidFill>
              <w14:schemeClr w14:val="tx1"/>
            </w14:solidFill>
          </w14:textFill>
        </w:rPr>
        <w:t>）</w:t>
      </w:r>
    </w:p>
    <w:p w14:paraId="06B9635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Times New Roman"/>
          <w:b w:val="0"/>
          <w:bCs w:val="0"/>
          <w:color w:val="000000" w:themeColor="text1"/>
          <w:sz w:val="44"/>
          <w:szCs w:val="44"/>
          <w:lang w:eastAsia="zh-CN"/>
          <w14:textFill>
            <w14:solidFill>
              <w14:schemeClr w14:val="tx1"/>
            </w14:solidFill>
          </w14:textFill>
        </w:rPr>
      </w:pPr>
      <w:r>
        <w:rPr>
          <w:rFonts w:hint="eastAsia" w:ascii="Times New Roman" w:hAnsi="Times New Roman" w:eastAsia="方正小标宋简体" w:cs="Times New Roman"/>
          <w:b w:val="0"/>
          <w:bCs w:val="0"/>
          <w:color w:val="000000" w:themeColor="text1"/>
          <w:sz w:val="44"/>
          <w:szCs w:val="44"/>
          <w:lang w:eastAsia="zh-CN"/>
          <w14:textFill>
            <w14:solidFill>
              <w14:schemeClr w14:val="tx1"/>
            </w14:solidFill>
          </w14:textFill>
        </w:rPr>
        <w:t>（</w:t>
      </w:r>
      <w:r>
        <w:rPr>
          <w:rFonts w:hint="eastAsia" w:ascii="Times New Roman" w:hAnsi="Times New Roman" w:eastAsia="方正小标宋简体" w:cs="Times New Roman"/>
          <w:b w:val="0"/>
          <w:bCs w:val="0"/>
          <w:color w:val="000000" w:themeColor="text1"/>
          <w:sz w:val="44"/>
          <w:szCs w:val="44"/>
          <w:lang w:val="en-US" w:eastAsia="zh-CN"/>
          <w14:textFill>
            <w14:solidFill>
              <w14:schemeClr w14:val="tx1"/>
            </w14:solidFill>
          </w14:textFill>
        </w:rPr>
        <w:t>征求意见稿</w:t>
      </w:r>
      <w:r>
        <w:rPr>
          <w:rFonts w:hint="eastAsia" w:ascii="Times New Roman" w:hAnsi="Times New Roman" w:eastAsia="方正小标宋简体" w:cs="Times New Roman"/>
          <w:b w:val="0"/>
          <w:bCs w:val="0"/>
          <w:color w:val="000000" w:themeColor="text1"/>
          <w:sz w:val="44"/>
          <w:szCs w:val="44"/>
          <w:lang w:eastAsia="zh-CN"/>
          <w14:textFill>
            <w14:solidFill>
              <w14:schemeClr w14:val="tx1"/>
            </w14:solidFill>
          </w14:textFill>
        </w:rPr>
        <w:t>）</w:t>
      </w:r>
    </w:p>
    <w:p w14:paraId="1C94EA6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b w:val="0"/>
          <w:bCs w:val="0"/>
          <w:color w:val="000000" w:themeColor="text1"/>
          <w:sz w:val="32"/>
          <w:szCs w:val="32"/>
          <w14:textFill>
            <w14:solidFill>
              <w14:schemeClr w14:val="tx1"/>
            </w14:solidFill>
          </w14:textFill>
        </w:rPr>
      </w:pPr>
    </w:p>
    <w:p w14:paraId="2EA2E1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为深入贯彻党中央、国务院关于实施《关于深入实施“人工智能+”行动的意见》的决策部署，认真落实工业和信息化部《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人工智能+软件</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专项行动实施方案》有关要求，培育壮大新质生产力，加快推动人工智能和软件产业融合互促，驱动软件产业生产方式、业务逻辑、产品形态变革重塑，助力高水平数字强省、先进制造业强省建设，结合我省实际，制定本行动计划。</w:t>
      </w:r>
    </w:p>
    <w:p w14:paraId="4AAE108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一、总体要求</w:t>
      </w:r>
    </w:p>
    <w:p w14:paraId="0F1B2FB4">
      <w:pPr>
        <w:spacing w:before="0" w:after="0" w:line="560" w:lineRule="exact"/>
        <w:ind w:firstLine="640"/>
        <w:rPr>
          <w:rFonts w:hint="eastAsia" w:ascii="仿宋_GB2312" w:hAnsi="仿宋_GB2312" w:eastAsia="仿宋_GB2312" w:cs="仿宋_GB2312"/>
          <w:b w:val="0"/>
          <w:color w:val="000000" w:themeColor="text1"/>
          <w:sz w:val="32"/>
          <w14:textFill>
            <w14:solidFill>
              <w14:schemeClr w14:val="tx1"/>
            </w14:solidFill>
          </w14:textFill>
        </w:rPr>
      </w:pPr>
      <w:r>
        <w:rPr>
          <w:rFonts w:hint="eastAsia" w:ascii="仿宋_GB2312" w:hAnsi="仿宋_GB2312" w:eastAsia="仿宋_GB2312" w:cs="仿宋_GB2312"/>
          <w:b w:val="0"/>
          <w:color w:val="000000" w:themeColor="text1"/>
          <w:sz w:val="32"/>
          <w14:textFill>
            <w14:solidFill>
              <w14:schemeClr w14:val="tx1"/>
            </w14:solidFill>
          </w14:textFill>
        </w:rPr>
        <w:t>深入贯彻习近平总书记视察山东重要讲话和重要指示批示精神，</w:t>
      </w:r>
      <w:r>
        <w:rPr>
          <w:rFonts w:hint="eastAsia" w:ascii="仿宋_GB2312" w:hAnsi="仿宋_GB2312" w:eastAsia="仿宋_GB2312" w:cs="仿宋_GB2312"/>
          <w:b w:val="0"/>
          <w:bCs w:val="0"/>
          <w:color w:val="000000" w:themeColor="text1"/>
          <w:sz w:val="32"/>
          <w:u w:val="none"/>
          <w14:textFill>
            <w14:solidFill>
              <w14:schemeClr w14:val="tx1"/>
            </w14:solidFill>
          </w14:textFill>
        </w:rPr>
        <w:t>坚持</w:t>
      </w:r>
      <w:r>
        <w:rPr>
          <w:rFonts w:hint="eastAsia" w:ascii="仿宋_GB2312" w:hAnsi="仿宋_GB2312" w:eastAsia="仿宋_GB2312" w:cs="仿宋_GB2312"/>
          <w:b w:val="0"/>
          <w:bCs w:val="0"/>
          <w:color w:val="000000" w:themeColor="text1"/>
          <w:sz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u w:val="none"/>
          <w14:textFill>
            <w14:solidFill>
              <w14:schemeClr w14:val="tx1"/>
            </w14:solidFill>
          </w14:textFill>
        </w:rPr>
        <w:t>应用牵引、创新驱动、</w:t>
      </w:r>
      <w:r>
        <w:rPr>
          <w:rFonts w:hint="eastAsia" w:ascii="仿宋_GB2312" w:hAnsi="仿宋_GB2312" w:eastAsia="仿宋_GB2312" w:cs="仿宋_GB2312"/>
          <w:b w:val="0"/>
          <w:bCs w:val="0"/>
          <w:color w:val="000000" w:themeColor="text1"/>
          <w:sz w:val="32"/>
          <w:highlight w:val="none"/>
          <w:u w:val="none"/>
          <w14:textFill>
            <w14:solidFill>
              <w14:schemeClr w14:val="tx1"/>
            </w14:solidFill>
          </w14:textFill>
        </w:rPr>
        <w:t>安全可控</w:t>
      </w:r>
      <w:r>
        <w:rPr>
          <w:rFonts w:hint="eastAsia" w:ascii="仿宋_GB2312" w:hAnsi="仿宋_GB2312" w:eastAsia="仿宋_GB2312" w:cs="仿宋_GB2312"/>
          <w:b w:val="0"/>
          <w:bCs w:val="0"/>
          <w:color w:val="000000" w:themeColor="text1"/>
          <w:sz w:val="32"/>
          <w:u w:val="none"/>
          <w14:textFill>
            <w14:solidFill>
              <w14:schemeClr w14:val="tx1"/>
            </w14:solidFill>
          </w14:textFill>
        </w:rPr>
        <w:t>、生态协同</w:t>
      </w:r>
      <w:r>
        <w:rPr>
          <w:rFonts w:hint="eastAsia" w:ascii="仿宋_GB2312" w:hAnsi="仿宋_GB2312" w:eastAsia="仿宋_GB2312" w:cs="仿宋_GB2312"/>
          <w:b w:val="0"/>
          <w:bCs w:val="0"/>
          <w:color w:val="000000" w:themeColor="text1"/>
          <w:sz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原则</w:t>
      </w:r>
      <w:r>
        <w:rPr>
          <w:rFonts w:hint="eastAsia" w:ascii="仿宋_GB2312" w:hAnsi="仿宋_GB2312" w:eastAsia="仿宋_GB2312" w:cs="仿宋_GB2312"/>
          <w:b w:val="0"/>
          <w:bCs w:val="0"/>
          <w:color w:val="000000" w:themeColor="text1"/>
          <w:sz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u w:val="none"/>
          <w14:textFill>
            <w14:solidFill>
              <w14:schemeClr w14:val="tx1"/>
            </w14:solidFill>
          </w14:textFill>
        </w:rPr>
        <w:t>以传统软件</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企业</w:t>
      </w:r>
      <w:r>
        <w:rPr>
          <w:rFonts w:hint="eastAsia" w:ascii="仿宋_GB2312" w:hAnsi="仿宋_GB2312" w:eastAsia="仿宋_GB2312" w:cs="仿宋_GB2312"/>
          <w:b w:val="0"/>
          <w:bCs w:val="0"/>
          <w:color w:val="000000" w:themeColor="text1"/>
          <w:sz w:val="32"/>
          <w:u w:val="none"/>
          <w14:textFill>
            <w14:solidFill>
              <w14:schemeClr w14:val="tx1"/>
            </w14:solidFill>
          </w14:textFill>
        </w:rPr>
        <w:t>智能</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化技改</w:t>
      </w:r>
      <w:r>
        <w:rPr>
          <w:rFonts w:hint="eastAsia" w:ascii="仿宋_GB2312" w:hAnsi="仿宋_GB2312" w:eastAsia="仿宋_GB2312" w:cs="仿宋_GB2312"/>
          <w:b w:val="0"/>
          <w:bCs w:val="0"/>
          <w:color w:val="000000" w:themeColor="text1"/>
          <w:sz w:val="32"/>
          <w:u w:val="none"/>
          <w14:textFill>
            <w14:solidFill>
              <w14:schemeClr w14:val="tx1"/>
            </w14:solidFill>
          </w14:textFill>
        </w:rPr>
        <w:t>和智能体新型软件培育为主线，</w:t>
      </w:r>
      <w:r>
        <w:rPr>
          <w:rFonts w:hint="eastAsia" w:ascii="仿宋_GB2312" w:hAnsi="仿宋_GB2312" w:eastAsia="仿宋_GB2312" w:cs="仿宋_GB2312"/>
          <w:b w:val="0"/>
          <w:color w:val="000000" w:themeColor="text1"/>
          <w:sz w:val="32"/>
          <w14:textFill>
            <w14:solidFill>
              <w14:schemeClr w14:val="tx1"/>
            </w14:solidFill>
          </w14:textFill>
        </w:rPr>
        <w:t>构建生产高效、产品智能、服务普惠、生态完善的协同发展格局，推动我省软件产业抢占智能化变革制高点。</w:t>
      </w:r>
    </w:p>
    <w:p w14:paraId="524B744F">
      <w:pPr>
        <w:spacing w:before="0" w:after="0" w:line="560" w:lineRule="exact"/>
        <w:ind w:firstLine="640"/>
        <w:rPr>
          <w:rFonts w:hint="eastAsia" w:ascii="Times New Roman" w:hAnsi="Times New Roman" w:eastAsia="仿宋_GB2312" w:cs="Times New Roman"/>
          <w:b w:val="0"/>
          <w:bCs w:val="0"/>
          <w:color w:val="000000" w:themeColor="text1"/>
          <w:sz w:val="32"/>
          <w:lang w:val="en-US" w:eastAsia="zh-CN"/>
          <w14:textFill>
            <w14:solidFill>
              <w14:schemeClr w14:val="tx1"/>
            </w14:solidFill>
          </w14:textFill>
        </w:rPr>
      </w:pPr>
      <w:r>
        <w:rPr>
          <w:rFonts w:hint="eastAsia" w:ascii="仿宋_GB2312" w:hAnsi="仿宋_GB2312" w:eastAsia="仿宋_GB2312" w:cs="仿宋_GB2312"/>
          <w:b w:val="0"/>
          <w:color w:val="000000" w:themeColor="text1"/>
          <w:sz w:val="32"/>
          <w:lang w:eastAsia="zh-CN"/>
          <w14:textFill>
            <w14:solidFill>
              <w14:schemeClr w14:val="tx1"/>
            </w14:solidFill>
          </w14:textFill>
        </w:rPr>
        <w:t>到</w:t>
      </w:r>
      <w:r>
        <w:rPr>
          <w:rFonts w:hint="default" w:ascii="Times New Roman" w:hAnsi="Times New Roman" w:eastAsia="仿宋_GB2312" w:cs="Times New Roman"/>
          <w:b w:val="0"/>
          <w:color w:val="000000" w:themeColor="text1"/>
          <w:sz w:val="32"/>
          <w:lang w:eastAsia="zh-CN"/>
          <w14:textFill>
            <w14:solidFill>
              <w14:schemeClr w14:val="tx1"/>
            </w14:solidFill>
          </w14:textFill>
        </w:rPr>
        <w:t>2028</w:t>
      </w:r>
      <w:r>
        <w:rPr>
          <w:rFonts w:hint="eastAsia" w:ascii="仿宋_GB2312" w:hAnsi="仿宋_GB2312" w:eastAsia="仿宋_GB2312" w:cs="仿宋_GB2312"/>
          <w:b w:val="0"/>
          <w:color w:val="000000" w:themeColor="text1"/>
          <w:sz w:val="32"/>
          <w:lang w:eastAsia="zh-CN"/>
          <w14:textFill>
            <w14:solidFill>
              <w14:schemeClr w14:val="tx1"/>
            </w14:solidFill>
          </w14:textFill>
        </w:rPr>
        <w:t>年</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color w:val="000000" w:themeColor="text1"/>
          <w:sz w:val="32"/>
          <w:lang w:eastAsia="zh-CN"/>
          <w14:textFill>
            <w14:solidFill>
              <w14:schemeClr w14:val="tx1"/>
            </w14:solidFill>
          </w14:textFill>
        </w:rPr>
        <w:t>培育一批</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先进人工智能软件服务商，打造一批高水平</w:t>
      </w:r>
      <w:r>
        <w:rPr>
          <w:rFonts w:hint="eastAsia" w:ascii="仿宋_GB2312" w:hAnsi="仿宋_GB2312" w:eastAsia="仿宋_GB2312" w:cs="仿宋_GB2312"/>
          <w:b w:val="0"/>
          <w:color w:val="000000" w:themeColor="text1"/>
          <w:sz w:val="32"/>
          <w:lang w:eastAsia="zh-CN"/>
          <w14:textFill>
            <w14:solidFill>
              <w14:schemeClr w14:val="tx1"/>
            </w14:solidFill>
          </w14:textFill>
        </w:rPr>
        <w:t>智能编程工具和</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智能体新型软件</w:t>
      </w:r>
      <w:r>
        <w:rPr>
          <w:rFonts w:hint="eastAsia" w:ascii="仿宋_GB2312" w:hAnsi="仿宋_GB2312" w:eastAsia="仿宋_GB2312" w:cs="仿宋_GB2312"/>
          <w:b w:val="0"/>
          <w:color w:val="000000" w:themeColor="text1"/>
          <w:sz w:val="32"/>
          <w:lang w:eastAsia="zh-CN"/>
          <w14:textFill>
            <w14:solidFill>
              <w14:schemeClr w14:val="tx1"/>
            </w14:solidFill>
          </w14:textFill>
        </w:rPr>
        <w:t>，推广应用覆盖</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先进</w:t>
      </w:r>
      <w:r>
        <w:rPr>
          <w:rFonts w:hint="eastAsia" w:ascii="仿宋_GB2312" w:hAnsi="仿宋_GB2312" w:eastAsia="仿宋_GB2312" w:cs="仿宋_GB2312"/>
          <w:b w:val="0"/>
          <w:bCs w:val="0"/>
          <w:color w:val="000000" w:themeColor="text1"/>
          <w:sz w:val="32"/>
          <w:highlight w:val="none"/>
          <w:u w:val="none"/>
          <w:lang w:val="en-US" w:eastAsia="zh-CN"/>
          <w14:textFill>
            <w14:solidFill>
              <w14:schemeClr w14:val="tx1"/>
            </w14:solidFill>
          </w14:textFill>
        </w:rPr>
        <w:t>制造、政务、金融、医疗、教育、交通等重点行业领域</w:t>
      </w:r>
      <w:r>
        <w:rPr>
          <w:rFonts w:hint="eastAsia" w:ascii="仿宋_GB2312" w:hAnsi="仿宋_GB2312" w:eastAsia="仿宋_GB2312" w:cs="仿宋_GB2312"/>
          <w:b w:val="0"/>
          <w:bCs w:val="0"/>
          <w:color w:val="000000" w:themeColor="text1"/>
          <w:sz w:val="32"/>
          <w:u w:val="none"/>
          <w:lang w:eastAsia="zh-CN"/>
          <w14:textFill>
            <w14:solidFill>
              <w14:schemeClr w14:val="tx1"/>
            </w14:solidFill>
          </w14:textFill>
        </w:rPr>
        <w:t>，</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评级认定山东省智能软件工厂</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60</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个以上；实施揭榜挂帅项目，培育人工智能首版次软件项目</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60</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项左右，带动实施智能体软件标杆应用</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40</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项、建立人工智能软件数据集</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40</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项；部署实施</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30</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个“人工智能+软件”项目，建设“人工智能+软件产业赋能中心”</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15</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个左右；争创国家级基础软件领域软硬协同适配中心；</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打造</w:t>
      </w:r>
      <w:r>
        <w:rPr>
          <w:rFonts w:hint="eastAsia" w:ascii="仿宋_GB2312" w:hAnsi="仿宋_GB2312" w:eastAsia="仿宋_GB2312" w:cs="仿宋_GB2312"/>
          <w:b w:val="0"/>
          <w:color w:val="000000" w:themeColor="text1"/>
          <w:sz w:val="32"/>
          <w:lang w:eastAsia="zh-CN"/>
          <w14:textFill>
            <w14:solidFill>
              <w14:schemeClr w14:val="tx1"/>
            </w14:solidFill>
          </w14:textFill>
        </w:rPr>
        <w:t>优质开源项目</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2</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项以上；开展</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4</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场以上</w:t>
      </w:r>
      <w:r>
        <w:rPr>
          <w:rFonts w:hint="eastAsia" w:ascii="Times New Roman" w:hAnsi="Times New Roman" w:eastAsia="仿宋_GB2312" w:cs="Times New Roman"/>
          <w:b w:val="0"/>
          <w:color w:val="000000" w:themeColor="text1"/>
          <w:sz w:val="32"/>
          <w:lang w:val="en-US" w:eastAsia="zh-CN"/>
          <w14:textFill>
            <w14:solidFill>
              <w14:schemeClr w14:val="tx1"/>
            </w14:solidFill>
          </w14:textFill>
        </w:rPr>
        <w:t>FDE</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菁英训练营</w:t>
      </w:r>
      <w:r>
        <w:rPr>
          <w:rFonts w:hint="eastAsia" w:ascii="仿宋_GB2312" w:hAnsi="仿宋_GB2312" w:eastAsia="仿宋_GB2312" w:cs="仿宋_GB2312"/>
          <w:b w:val="0"/>
          <w:bCs w:val="0"/>
          <w:color w:val="000000" w:themeColor="text1"/>
          <w:sz w:val="32"/>
          <w:lang w:val="en-US" w:eastAsia="zh-CN"/>
          <w14:textFill>
            <w14:solidFill>
              <w14:schemeClr w14:val="tx1"/>
            </w14:solidFill>
          </w14:textFill>
        </w:rPr>
        <w:t>。</w:t>
      </w:r>
    </w:p>
    <w:p w14:paraId="22A8FD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二、重点任务</w:t>
      </w:r>
    </w:p>
    <w:p w14:paraId="2F6EAC5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（一）加快软件产业</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开发范式</w:t>
      </w:r>
      <w:r>
        <w:rPr>
          <w:rFonts w:hint="eastAsia" w:ascii="楷体_GB2312" w:hAnsi="楷体_GB2312" w:eastAsia="楷体_GB2312" w:cs="楷体_GB2312"/>
          <w:b/>
          <w:bCs/>
          <w:color w:val="000000" w:themeColor="text1"/>
          <w:sz w:val="32"/>
          <w:szCs w:val="32"/>
          <w14:textFill>
            <w14:solidFill>
              <w14:schemeClr w14:val="tx1"/>
            </w14:solidFill>
          </w14:textFill>
        </w:rPr>
        <w:t>变革</w:t>
      </w:r>
    </w:p>
    <w:p w14:paraId="7885C8C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推动软件企业智能化技改。</w:t>
      </w:r>
      <w:r>
        <w:rPr>
          <w:rFonts w:hint="eastAsia" w:ascii="仿宋_GB2312" w:hAnsi="仿宋_GB2312" w:eastAsia="仿宋_GB2312" w:cs="仿宋_GB2312"/>
          <w:b w:val="0"/>
          <w:bCs w:val="0"/>
          <w:color w:val="000000" w:themeColor="text1"/>
          <w:sz w:val="32"/>
          <w:szCs w:val="32"/>
          <w14:textFill>
            <w14:solidFill>
              <w14:schemeClr w14:val="tx1"/>
            </w14:solidFill>
          </w14:textFill>
        </w:rPr>
        <w:t>支持软件企业加大智能编程应用投入，建设企业级智能编程平台和代码知识库</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加强工程智能应用的研究探索</w:t>
      </w:r>
      <w:r>
        <w:rPr>
          <w:rFonts w:hint="eastAsia" w:ascii="仿宋_GB2312" w:hAnsi="仿宋_GB2312" w:eastAsia="仿宋_GB2312" w:cs="仿宋_GB2312"/>
          <w:b w:val="0"/>
          <w:bCs w:val="0"/>
          <w:color w:val="000000" w:themeColor="text1"/>
          <w:sz w:val="32"/>
          <w:szCs w:val="32"/>
          <w14:textFill>
            <w14:solidFill>
              <w14:schemeClr w14:val="tx1"/>
            </w14:solidFill>
          </w14:textFill>
        </w:rPr>
        <w:t>，围绕需求分析、设计、编码、测试、运维等环节改造软件开发流程，推动需求智能拆解、代码自动生成与补全、缺陷智能检测、测试实时验证，打造人机协同、群智融合的智能开发环境，形成一批代码模块自动生成、测试体系实时验证的智能软件开发模式，同步建立软件企业智能化水平分级评估体系</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对软件企业智能化水平实施分级评价。</w:t>
      </w:r>
    </w:p>
    <w:p w14:paraId="0BDEE4E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.深化软件企业对标提升。</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为降低省内企业的试错成本，缩短与产业高地之间的能力落差，用外部成熟做法换发展速度，把“走出去”与“引进来”</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作为推动软件企业智能化转型的重要路径，</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每年组织重点企业赴人工智能和软件产业先进地区开展交流学习活动，学习借鉴智能编程应用、软件智能工厂建设等方面的经验做法，引导企业把先进理念、成熟工具引进来、用起来，发扬开源文化。强化招才引智与自主创新双轮驱动，避免重复投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推动先进经验、优质资源和项目在省内转化落地，以开放学习促进智能化转型提质增效，加快推动全省软件开发范式变革。</w:t>
      </w:r>
    </w:p>
    <w:p w14:paraId="5D16C77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夯实软件开发范式变革人才支撑。</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着力破解既懂软件工程和行业场景，又懂大模型、智能体技术的复合型人才短缺瓶颈，强化人才需求研判、培养体系重构和供需精准对接，聚焦前沿部署工程师（</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FDE</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等新型岗位，完善专项培养、产教融合、校企协同和实践育人机制，推动人才链、教育链、产业链、创新链有效衔接。统筹推进智能化技改与人才培育，促进人才培养、岗位开发、评价激励和使用发展一体贯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CC6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664A040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专栏</w:t>
            </w:r>
            <w:r>
              <w:rPr>
                <w:rFonts w:hint="default" w:ascii="Times New Roman" w:hAnsi="Times New Roman" w:eastAsia="仿宋_GB2312" w:cs="Times New Roman"/>
                <w:b/>
                <w:bCs/>
                <w:color w:val="000000" w:themeColor="text1"/>
                <w:sz w:val="32"/>
                <w:szCs w:val="32"/>
                <w:vertAlign w:val="baseline"/>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 xml:space="preserve"> 软件产业开发范式革新工程</w:t>
            </w:r>
          </w:p>
        </w:tc>
      </w:tr>
      <w:tr w14:paraId="2B9D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E00102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企业技改。</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联合国家知名科研院所与省内头部企业，研究确定评估指标、评估标准与评估办法，建立软件企业智能化水平分级评估体系；加强宣传引导和服务对接，推动企业主动参评，每年分级评定</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个以上</w:t>
            </w:r>
            <w:r>
              <w:rPr>
                <w:rFonts w:hint="eastAsia" w:ascii="仿宋_GB2312" w:hAnsi="仿宋_GB2312" w:eastAsia="仿宋_GB2312" w:cs="仿宋_GB2312"/>
                <w:b w:val="0"/>
                <w:bCs w:val="0"/>
                <w:color w:val="000000" w:themeColor="text1"/>
                <w:sz w:val="32"/>
                <w:szCs w:val="32"/>
                <w:highlight w:val="none"/>
                <w:u w:val="none"/>
                <w:vertAlign w:val="baseline"/>
                <w:lang w:val="en-US" w:eastAsia="zh-CN"/>
                <w14:textFill>
                  <w14:solidFill>
                    <w14:schemeClr w14:val="tx1"/>
                  </w14:solidFill>
                </w14:textFill>
              </w:rPr>
              <w:t>山东省软件智能工厂</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，实行动态管理，加强评估结果运用，总结推广先进经验，发挥标杆示范作用。</w:t>
            </w:r>
          </w:p>
          <w:p w14:paraId="1969721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企业对标。</w:t>
            </w:r>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坚持政府搭台、企业主导，</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把“走出去”与“引进来”作为推动软件企业智能化转型的重要路径。每年分</w:t>
            </w:r>
            <w:r>
              <w:rPr>
                <w:rFonts w:hint="default" w:ascii="Times New Roman" w:hAnsi="Times New Roman" w:eastAsia="仿宋_GB2312" w:cs="Times New Roman"/>
                <w:b w:val="0"/>
                <w:bCs w:val="0"/>
                <w:color w:val="000000" w:themeColor="text1"/>
                <w:sz w:val="32"/>
                <w:szCs w:val="32"/>
                <w:u w:val="none"/>
                <w:vertAlign w:val="baseline"/>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批，组织重点软件企业赴人工智能和软件产业先进地区开展对标学习，聚焦智能编程工具规模化应用、软件智能工厂建设运营、智能体软件产品开发、开源项目治理等主题，由省级统一对接标杆企业、软件园区和公共服务平台，每批次形成“问题清单+可引进工具清单+合作意向清单”。健全学用转化闭环，组织学习成果分享和技术路演，推动成熟工具、开发平台在省内企业复制应用，并对接软件智能工厂遴选、首版次软件培育等既有政策予以支持；对学用转化成效明显的企业，在标杆服务商遴选、试点示范推荐中优先考虑。</w:t>
            </w:r>
          </w:p>
          <w:p w14:paraId="76F9634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企业人才。</w:t>
            </w:r>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摸清企业用人需求，会同重点企业和高校院所梳理岗位清单、制定培育方案。</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每年开展</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场以上</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FDE</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菁英训练营</w:t>
            </w:r>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，采取企业导师带徒、真实项目实训、案例教学等方式，强化项目实战。推动育人与技改衔接，承担智能化技改任务的企业优先推荐学员、优先安排岗位，促进技能培养与岗位需求有效对接。</w:t>
            </w:r>
          </w:p>
        </w:tc>
      </w:tr>
    </w:tbl>
    <w:p w14:paraId="221B9A0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w:t>
      </w:r>
      <w:r>
        <w:rPr>
          <w:rFonts w:hint="eastAsia" w:ascii="楷体_GB2312" w:hAnsi="楷体_GB2312" w:eastAsia="楷体_GB2312" w:cs="楷体_GB2312"/>
          <w:b/>
          <w:bCs/>
          <w:color w:val="000000" w:themeColor="text1"/>
          <w:sz w:val="32"/>
          <w:szCs w:val="32"/>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推动</w:t>
      </w:r>
      <w:r>
        <w:rPr>
          <w:rFonts w:hint="eastAsia" w:ascii="楷体_GB2312" w:hAnsi="楷体_GB2312" w:eastAsia="楷体_GB2312" w:cs="楷体_GB2312"/>
          <w:b/>
          <w:bCs/>
          <w:color w:val="000000" w:themeColor="text1"/>
          <w:sz w:val="32"/>
          <w:szCs w:val="32"/>
          <w14:textFill>
            <w14:solidFill>
              <w14:schemeClr w14:val="tx1"/>
            </w14:solidFill>
          </w14:textFill>
        </w:rPr>
        <w:t>软件产品智能升级</w:t>
      </w:r>
    </w:p>
    <w:p w14:paraId="58E8184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提升关键软件智能化水平。</w:t>
      </w:r>
      <w:r>
        <w:rPr>
          <w:rFonts w:hint="eastAsia" w:ascii="仿宋_GB2312" w:hAnsi="仿宋_GB2312" w:eastAsia="仿宋_GB2312" w:cs="仿宋_GB2312"/>
          <w:b w:val="0"/>
          <w:bCs w:val="0"/>
          <w:color w:val="000000" w:themeColor="text1"/>
          <w:sz w:val="32"/>
          <w:szCs w:val="32"/>
          <w14:textFill>
            <w14:solidFill>
              <w14:schemeClr w14:val="tx1"/>
            </w14:solidFill>
          </w14:textFill>
        </w:rPr>
        <w:t>推动人工智能技术与数据库、中间件等基础软件深度融合，增强数据智能处理、自适应调度和智能运维能力，培育具备强交互性、自适应性的智能产品，提升基础软件智能化水平和产业验证能力。推动</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CAD、CAE、MES</w:t>
      </w:r>
      <w:r>
        <w:rPr>
          <w:rFonts w:hint="eastAsia" w:ascii="仿宋_GB2312" w:hAnsi="仿宋_GB2312" w:eastAsia="仿宋_GB2312" w:cs="仿宋_GB2312"/>
          <w:b w:val="0"/>
          <w:bCs w:val="0"/>
          <w:color w:val="000000" w:themeColor="text1"/>
          <w:sz w:val="32"/>
          <w:szCs w:val="32"/>
          <w14:textFill>
            <w14:solidFill>
              <w14:schemeClr w14:val="tx1"/>
            </w14:solidFill>
          </w14:textFill>
        </w:rPr>
        <w:t>等关键软件与人工智能深度融合，突破生成式设计、智能网格划分、工艺参数优化等关键技术，推出一批“大模型驱动+智能体协同”的智能软件，提升研发设计、生产制造和运营管理效率，加速高价值场景智能化升级。</w:t>
      </w:r>
    </w:p>
    <w:p w14:paraId="6E6679F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
          <w:bCs/>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加快培育新兴领域高端智能体</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前瞻布局新兴领域，重点面向量子科技、脑机接口、具身智能、第六代移动通信（</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6G</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）等前沿软件领域，低空经济、商业航天、智能网联新能源汽车、生物医药等新兴应用软件领域，以及</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人工智能+</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新媒体、智慧教育、智慧医疗等人文服务软件领域，</w:t>
      </w:r>
      <w:r>
        <w:rPr>
          <w:rFonts w:hint="eastAsia" w:ascii="仿宋_GB2312" w:hAnsi="仿宋_GB2312" w:eastAsia="仿宋_GB2312" w:cs="仿宋_GB2312"/>
          <w:b w:val="0"/>
          <w:bCs w:val="0"/>
          <w:color w:val="000000" w:themeColor="text1"/>
          <w:sz w:val="32"/>
          <w:szCs w:val="32"/>
          <w14:textFill>
            <w14:solidFill>
              <w14:schemeClr w14:val="tx1"/>
            </w14:solidFill>
          </w14:textFill>
        </w:rPr>
        <w:t>推动大模型、智能体技术与行业知识、场景数据深度融合，支持企业、高校和科研院所联合开展关键技术攻关和产品研发，培育一批具备环境感知、自主决策、任务执行和持续进化能力的垂直领域专业智能体产品和服务，打造标杆应用场景，促进跨领域技术融合与产业协同，抢占新兴领域智能体发展先机。</w:t>
      </w:r>
    </w:p>
    <w:p w14:paraId="363A519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建强智能体研发中试一体化平台。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做强国家人工智能应用中试基地（工业软件）、</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工业软件领域科研院</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所等现有平台，完善中试设施、数据资源和算力工具，健全标准、评价和安全保障体系，提升“算法验证—系统集成—场景测试”全链条服务能力；开放真实场景、行业数据和算力资源，帮助中小企业低成本接入、快速迭代；依托平台开展供需对接、标杆遴选和应用推广，发现培育高成长性软件企业，形成“中试服务—产品熟化—场景应用—企业培育”的良性循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047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8C5AC7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专栏</w:t>
            </w:r>
            <w:r>
              <w:rPr>
                <w:rFonts w:hint="default" w:ascii="Times New Roman" w:hAnsi="Times New Roman" w:eastAsia="仿宋_GB2312" w:cs="Times New Roman"/>
                <w:b/>
                <w:bCs/>
                <w:color w:val="000000" w:themeColor="text1"/>
                <w:sz w:val="32"/>
                <w:szCs w:val="32"/>
                <w:vertAlign w:val="baseline"/>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 xml:space="preserve"> 人工智能创新应用培育工程</w:t>
            </w:r>
          </w:p>
        </w:tc>
      </w:tr>
      <w:tr w14:paraId="2298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DB49AC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软件智能升级。</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每年培育</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30</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项人工智能首版次软件项目，每项最高奖补</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万元，</w:t>
            </w:r>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重点支持基础软件、工业软件与人工智能融合改造；组织软件企业联合人工智能企业和行业用户，通过揭榜挂帅、组建创新联合</w:t>
            </w:r>
            <w:bookmarkStart w:id="0" w:name="_GoBack"/>
            <w:bookmarkEnd w:id="0"/>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体等方式，</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重点突破四类卡点技术：面向钢铁、石化等流程行业，攻关行业工业操作系统与生产过程智能控制；面向高端装备、数控机床、工程机械、智能家电，攻关自主三维</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CAD、CAE</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等研发设计类软件智能化；面向船舶海工、轨道交通装备，攻关仿真分析软件与轨交智能体；面向电力能源、机器人等领域，攻关智能运维系统与具身智能操作系统，</w:t>
            </w:r>
            <w:r>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t>搭建应用验证环境，以真实场景和数据检验产品成熟度，边用边改、快速迭代；对攻关产品及时组织供需对接和推广应用，推动成熟产品进企业、进场景，加速高价值场景智能化升级。</w:t>
            </w:r>
          </w:p>
          <w:p w14:paraId="7EEDD9D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新兴智能体培育。</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组织高校院所、头部企业和用户单位组建联合体，按领域分头攻关；为重点培育的产品找场景、找客户，纳入省内相关应用推广目录，优先在政府投资项目中试用；建立跟踪服务机制，对成长快、带动力强的产品持续加力支持，尽快形成标志性成果。部署实施</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项左右</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“人工智能+软件”项目，每项给予</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万元奖励；</w:t>
            </w:r>
          </w:p>
          <w:p w14:paraId="244B107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中试平台赋能。</w:t>
            </w:r>
            <w:r>
              <w:rPr>
                <w:rFonts w:hint="eastAsia" w:ascii="仿宋_GB2312" w:hAnsi="仿宋_GB2312" w:eastAsia="仿宋_GB2312" w:cs="仿宋_GB2312"/>
                <w:b w:val="0"/>
                <w:bCs w:val="0"/>
                <w:color w:val="000000" w:themeColor="text1"/>
                <w:sz w:val="32"/>
                <w:szCs w:val="32"/>
                <w:u w:val="none"/>
                <w:vertAlign w:val="baseline"/>
                <w:lang w:val="en-US" w:eastAsia="zh-CN"/>
                <w14:textFill>
                  <w14:solidFill>
                    <w14:schemeClr w14:val="tx1"/>
                  </w14:solidFill>
                </w14:textFill>
              </w:rPr>
              <w:t>依托国家人工智能应用中试基地（工业软件），以“赋能制造业工业软件智能化升级”为主线，贯通技术研发到产业落地全链条，</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攻关“卡脖子”核心技术、构建工业基础模型体系；统一架构标准、开放算力数据等公共服务；汇聚多模态数据、促进合规流通与产业链协同；搭建共性算力与工具链、支撑大模型快速验证并沉淀可复制方案，让中小企业低成本共享高端能力，带动产业整体跃升。将在赋能过程中发现成长性强的企业及时纳入培育名单、优先推荐认定</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山东省软件智能工厂</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w:t>
            </w:r>
          </w:p>
        </w:tc>
      </w:tr>
    </w:tbl>
    <w:p w14:paraId="50CE46A1">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bCs/>
          <w:color w:val="000000" w:themeColor="text1"/>
          <w:sz w:val="32"/>
          <w:szCs w:val="32"/>
          <w:lang w:val="en-US"/>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楷体_GB2312" w:cs="Times New Roman"/>
          <w:b/>
          <w:bCs/>
          <w:color w:val="000000" w:themeColor="text1"/>
          <w:sz w:val="32"/>
          <w:szCs w:val="32"/>
          <w14:textFill>
            <w14:solidFill>
              <w14:schemeClr w14:val="tx1"/>
            </w14:solidFill>
          </w14:textFill>
        </w:rPr>
        <w:t>）</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加快拓展软件产业服务模式</w:t>
      </w:r>
    </w:p>
    <w:p w14:paraId="60F48004">
      <w:pPr>
        <w:spacing w:before="0" w:after="0" w:line="560" w:lineRule="exact"/>
        <w:ind w:firstLine="640"/>
        <w:rPr>
          <w:rFonts w:hint="eastAsia" w:ascii="仿宋_GB2312" w:hAnsi="仿宋_GB2312" w:eastAsia="仿宋_GB2312" w:cs="仿宋_GB2312"/>
          <w:b w:val="0"/>
          <w:color w:val="000000" w:themeColor="text1"/>
          <w:sz w:val="32"/>
          <w:lang w:val="en-US"/>
          <w14:textFill>
            <w14:solidFill>
              <w14:schemeClr w14:val="tx1"/>
            </w14:solidFill>
          </w14:textFill>
        </w:rPr>
      </w:pPr>
      <w:r>
        <w:rPr>
          <w:rFonts w:hint="default" w:ascii="Times New Roman" w:hAnsi="Times New Roman" w:eastAsia="仿宋_GB2312" w:cs="Times New Roman"/>
          <w:b/>
          <w:bCs/>
          <w:color w:val="000000" w:themeColor="text1"/>
          <w:sz w:val="32"/>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lang w:val="en-US"/>
          <w14:textFill>
            <w14:solidFill>
              <w14:schemeClr w14:val="tx1"/>
            </w14:solidFill>
          </w14:textFill>
        </w:rPr>
        <w:t>.</w:t>
      </w:r>
      <w:r>
        <w:rPr>
          <w:rFonts w:hint="eastAsia" w:ascii="仿宋_GB2312" w:hAnsi="仿宋_GB2312" w:eastAsia="仿宋_GB2312" w:cs="仿宋_GB2312"/>
          <w:b/>
          <w:bCs/>
          <w:color w:val="000000" w:themeColor="text1"/>
          <w:sz w:val="32"/>
          <w:lang w:val="en-US"/>
          <w14:textFill>
            <w14:solidFill>
              <w14:schemeClr w14:val="tx1"/>
            </w14:solidFill>
          </w14:textFill>
        </w:rPr>
        <w:t>推动软件服务向生产生活两端延伸。</w:t>
      </w:r>
      <w:r>
        <w:rPr>
          <w:rFonts w:hint="eastAsia" w:ascii="仿宋_GB2312" w:hAnsi="仿宋_GB2312" w:eastAsia="仿宋_GB2312" w:cs="仿宋_GB2312"/>
          <w:b w:val="0"/>
          <w:bCs w:val="0"/>
          <w:color w:val="000000" w:themeColor="text1"/>
          <w:sz w:val="32"/>
          <w:lang w:val="en-US"/>
          <w14:textFill>
            <w14:solidFill>
              <w14:schemeClr w14:val="tx1"/>
            </w14:solidFill>
          </w14:textFill>
        </w:rPr>
        <w:t>坚持</w:t>
      </w:r>
      <w:r>
        <w:rPr>
          <w:rFonts w:hint="eastAsia" w:ascii="仿宋_GB2312" w:hAnsi="仿宋_GB2312" w:eastAsia="仿宋_GB2312" w:cs="仿宋_GB2312"/>
          <w:b w:val="0"/>
          <w:bCs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lang w:val="en-US"/>
          <w14:textFill>
            <w14:solidFill>
              <w14:schemeClr w14:val="tx1"/>
            </w14:solidFill>
          </w14:textFill>
        </w:rPr>
        <w:t>生产软件赋智产业、生活软件惠民利民</w:t>
      </w:r>
      <w:r>
        <w:rPr>
          <w:rFonts w:hint="eastAsia" w:ascii="仿宋_GB2312" w:hAnsi="仿宋_GB2312" w:eastAsia="仿宋_GB2312" w:cs="仿宋_GB2312"/>
          <w:b w:val="0"/>
          <w:bCs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lang w:val="en-US"/>
          <w14:textFill>
            <w14:solidFill>
              <w14:schemeClr w14:val="tx1"/>
            </w14:solidFill>
          </w14:textFill>
        </w:rPr>
        <w:t>双向发力，加快拓展软件服务模式。</w:t>
      </w:r>
      <w:r>
        <w:rPr>
          <w:rFonts w:hint="eastAsia" w:ascii="仿宋_GB2312" w:hAnsi="仿宋_GB2312" w:eastAsia="仿宋_GB2312" w:cs="仿宋_GB2312"/>
          <w:b w:val="0"/>
          <w:color w:val="000000" w:themeColor="text1"/>
          <w:sz w:val="32"/>
          <w:lang w:val="en-US"/>
          <w14:textFill>
            <w14:solidFill>
              <w14:schemeClr w14:val="tx1"/>
            </w14:solidFill>
          </w14:textFill>
        </w:rPr>
        <w:t>生产软件面向制造业提供</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color w:val="000000" w:themeColor="text1"/>
          <w:sz w:val="32"/>
          <w:lang w:val="en-US"/>
          <w14:textFill>
            <w14:solidFill>
              <w14:schemeClr w14:val="tx1"/>
            </w14:solidFill>
          </w14:textFill>
        </w:rPr>
        <w:t>模型即服务</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color w:val="000000" w:themeColor="text1"/>
          <w:sz w:val="32"/>
          <w:lang w:val="en-US"/>
          <w14:textFill>
            <w14:solidFill>
              <w14:schemeClr w14:val="tx1"/>
            </w14:solidFill>
          </w14:textFill>
        </w:rPr>
        <w:t>智能体即服务</w:t>
      </w:r>
      <w:r>
        <w:rPr>
          <w:rFonts w:hint="eastAsia" w:ascii="仿宋_GB2312" w:hAnsi="仿宋_GB2312" w:eastAsia="仿宋_GB2312" w:cs="仿宋_GB2312"/>
          <w:b w:val="0"/>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color w:val="000000" w:themeColor="text1"/>
          <w:sz w:val="32"/>
          <w:lang w:val="en-US"/>
          <w14:textFill>
            <w14:solidFill>
              <w14:schemeClr w14:val="tx1"/>
            </w14:solidFill>
          </w14:textFill>
        </w:rPr>
        <w:t>等云化服务，按用量、按成效计费，深度赋能产业升级；生活软件面向政务、教育、医疗等场景发展轻量化、订阅式服务，让数字服务普惠可及。强化场景开放、数据共享、安全治理和生态协同，促进生产性软件与生活性软件联动发展，形成供需互促、融合赋能、普惠共享的软件服务新格局。</w:t>
      </w:r>
    </w:p>
    <w:p w14:paraId="27913B90">
      <w:pPr>
        <w:spacing w:before="0" w:after="0" w:line="560" w:lineRule="exact"/>
        <w:ind w:firstLine="640"/>
        <w:rPr>
          <w:rFonts w:hint="eastAsia" w:ascii="仿宋_GB2312" w:hAnsi="仿宋_GB2312" w:eastAsia="仿宋_GB2312" w:cs="仿宋_GB2312"/>
          <w:b w:val="0"/>
          <w:color w:val="000000" w:themeColor="text1"/>
          <w:sz w:val="32"/>
          <w:lang w:val="en-US"/>
          <w14:textFill>
            <w14:solidFill>
              <w14:schemeClr w14:val="tx1"/>
            </w14:solidFill>
          </w14:textFill>
        </w:rPr>
      </w:pPr>
      <w:r>
        <w:rPr>
          <w:rFonts w:hint="default" w:ascii="Times New Roman" w:hAnsi="Times New Roman" w:eastAsia="仿宋_GB2312" w:cs="Times New Roman"/>
          <w:b/>
          <w:bCs/>
          <w:color w:val="000000" w:themeColor="text1"/>
          <w:sz w:val="32"/>
          <w:lang w:val="en-US" w:eastAsia="zh-CN"/>
          <w14:textFill>
            <w14:solidFill>
              <w14:schemeClr w14:val="tx1"/>
            </w14:solidFill>
          </w14:textFill>
        </w:rPr>
        <w:t>8</w:t>
      </w:r>
      <w:r>
        <w:rPr>
          <w:rFonts w:hint="default" w:ascii="Times New Roman" w:hAnsi="Times New Roman" w:eastAsia="仿宋_GB2312" w:cs="Times New Roman"/>
          <w:b/>
          <w:bCs/>
          <w:color w:val="000000" w:themeColor="text1"/>
          <w:sz w:val="32"/>
          <w:lang w:val="en-US"/>
          <w14:textFill>
            <w14:solidFill>
              <w14:schemeClr w14:val="tx1"/>
            </w14:solidFill>
          </w14:textFill>
        </w:rPr>
        <w:t>.</w:t>
      </w:r>
      <w:r>
        <w:rPr>
          <w:rFonts w:hint="eastAsia" w:ascii="仿宋_GB2312" w:hAnsi="仿宋_GB2312" w:eastAsia="仿宋_GB2312" w:cs="仿宋_GB2312"/>
          <w:b/>
          <w:bCs/>
          <w:color w:val="000000" w:themeColor="text1"/>
          <w:sz w:val="32"/>
          <w:lang w:val="en-US"/>
          <w14:textFill>
            <w14:solidFill>
              <w14:schemeClr w14:val="tx1"/>
            </w14:solidFill>
          </w14:textFill>
        </w:rPr>
        <w:t>支持新型主体创新创业。</w:t>
      </w:r>
      <w:r>
        <w:rPr>
          <w:rFonts w:hint="eastAsia" w:ascii="仿宋_GB2312" w:hAnsi="仿宋_GB2312" w:eastAsia="仿宋_GB2312" w:cs="仿宋_GB2312"/>
          <w:b w:val="0"/>
          <w:color w:val="000000" w:themeColor="text1"/>
          <w:sz w:val="32"/>
          <w:lang w:val="en-US"/>
          <w14:textFill>
            <w14:solidFill>
              <w14:schemeClr w14:val="tx1"/>
            </w14:solidFill>
          </w14:textFill>
        </w:rPr>
        <w:t>鼓励以</w:t>
      </w:r>
      <w:r>
        <w:rPr>
          <w:rFonts w:hint="default" w:ascii="Times New Roman" w:hAnsi="Times New Roman" w:eastAsia="仿宋_GB2312" w:cs="Times New Roman"/>
          <w:b w:val="0"/>
          <w:color w:val="000000" w:themeColor="text1"/>
          <w:sz w:val="32"/>
          <w:lang w:val="en-US"/>
          <w14:textFill>
            <w14:solidFill>
              <w14:schemeClr w14:val="tx1"/>
            </w14:solidFill>
          </w14:textFill>
        </w:rPr>
        <w:t>OPC</w:t>
      </w:r>
      <w:r>
        <w:rPr>
          <w:rFonts w:hint="eastAsia" w:ascii="仿宋_GB2312" w:hAnsi="仿宋_GB2312" w:eastAsia="仿宋_GB2312" w:cs="仿宋_GB2312"/>
          <w:b w:val="0"/>
          <w:color w:val="000000" w:themeColor="text1"/>
          <w:sz w:val="32"/>
          <w:lang w:val="en-US"/>
          <w14:textFill>
            <w14:solidFill>
              <w14:schemeClr w14:val="tx1"/>
            </w14:solidFill>
          </w14:textFill>
        </w:rPr>
        <w:t>为代表的创新创业新模式发展，支持其聚焦</w:t>
      </w:r>
      <w:r>
        <w:rPr>
          <w:rFonts w:hint="eastAsia" w:ascii="Times New Roman" w:hAnsi="Times New Roman" w:eastAsia="仿宋_GB2312" w:cs="Times New Roman"/>
          <w:b w:val="0"/>
          <w:color w:val="000000" w:themeColor="text1"/>
          <w:sz w:val="32"/>
          <w:lang w:val="en-US"/>
          <w14:textFill>
            <w14:solidFill>
              <w14:schemeClr w14:val="tx1"/>
            </w14:solidFill>
          </w14:textFill>
        </w:rPr>
        <w:t>AI</w:t>
      </w:r>
      <w:r>
        <w:rPr>
          <w:rFonts w:hint="eastAsia" w:ascii="仿宋_GB2312" w:hAnsi="仿宋_GB2312" w:eastAsia="仿宋_GB2312" w:cs="仿宋_GB2312"/>
          <w:b w:val="0"/>
          <w:color w:val="000000" w:themeColor="text1"/>
          <w:sz w:val="32"/>
          <w:lang w:val="en-US"/>
          <w14:textFill>
            <w14:solidFill>
              <w14:schemeClr w14:val="tx1"/>
            </w14:solidFill>
          </w14:textFill>
        </w:rPr>
        <w:t>应用开发、</w:t>
      </w:r>
      <w:r>
        <w:rPr>
          <w:rFonts w:hint="eastAsia" w:ascii="Times New Roman" w:hAnsi="Times New Roman" w:eastAsia="仿宋_GB2312" w:cs="Times New Roman"/>
          <w:b w:val="0"/>
          <w:color w:val="000000" w:themeColor="text1"/>
          <w:sz w:val="32"/>
          <w:lang w:val="en-US"/>
          <w14:textFill>
            <w14:solidFill>
              <w14:schemeClr w14:val="tx1"/>
            </w14:solidFill>
          </w14:textFill>
        </w:rPr>
        <w:t>AIGC</w:t>
      </w:r>
      <w:r>
        <w:rPr>
          <w:rFonts w:hint="eastAsia" w:ascii="仿宋_GB2312" w:hAnsi="仿宋_GB2312" w:eastAsia="仿宋_GB2312" w:cs="仿宋_GB2312"/>
          <w:b w:val="0"/>
          <w:color w:val="000000" w:themeColor="text1"/>
          <w:sz w:val="32"/>
          <w:lang w:val="en-US"/>
          <w14:textFill>
            <w14:solidFill>
              <w14:schemeClr w14:val="tx1"/>
            </w14:solidFill>
          </w14:textFill>
        </w:rPr>
        <w:t>内容创作、数字化解决方案、知识数据服务等热门领域开展创业，激发个体创新活力，培育产业发展新动能。统筹建设一批</w:t>
      </w:r>
      <w:r>
        <w:rPr>
          <w:rFonts w:hint="eastAsia" w:ascii="仿宋_GB2312" w:hAnsi="仿宋_GB2312" w:eastAsia="仿宋_GB2312" w:cs="仿宋_GB2312"/>
          <w:b w:val="0"/>
          <w:bCs w:val="0"/>
          <w:color w:val="000000" w:themeColor="text1"/>
          <w:sz w:val="32"/>
          <w:u w:val="none"/>
          <w:lang w:val="en-US"/>
          <w14:textFill>
            <w14:solidFill>
              <w14:schemeClr w14:val="tx1"/>
            </w14:solidFill>
          </w14:textFill>
        </w:rPr>
        <w:t>智能</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软件</w:t>
      </w:r>
      <w:r>
        <w:rPr>
          <w:rFonts w:hint="eastAsia" w:ascii="Times New Roman" w:hAnsi="Times New Roman" w:eastAsia="仿宋_GB2312" w:cs="Times New Roman"/>
          <w:b w:val="0"/>
          <w:color w:val="000000" w:themeColor="text1"/>
          <w:sz w:val="32"/>
          <w:lang w:val="en-US"/>
          <w14:textFill>
            <w14:solidFill>
              <w14:schemeClr w14:val="tx1"/>
            </w14:solidFill>
          </w14:textFill>
        </w:rPr>
        <w:t>OPC</w:t>
      </w:r>
      <w:r>
        <w:rPr>
          <w:rFonts w:hint="eastAsia" w:ascii="仿宋_GB2312" w:hAnsi="仿宋_GB2312" w:eastAsia="仿宋_GB2312" w:cs="仿宋_GB2312"/>
          <w:b w:val="0"/>
          <w:color w:val="000000" w:themeColor="text1"/>
          <w:sz w:val="32"/>
          <w:lang w:val="en-US"/>
          <w14:textFill>
            <w14:solidFill>
              <w14:schemeClr w14:val="tx1"/>
            </w14:solidFill>
          </w14:textFill>
        </w:rPr>
        <w:t>特色园区和创业社区，完善“工位+算力+语料+合规指导”全要素服务，提升创业孵化、创业辅导、科技金融、知识产权、政策咨询等专业化服务能力，推动资源开放共享和供需对接，打造低成本、便利化、全要素的创业生态，培育壮大一批高成长性新型创业主体。</w:t>
      </w:r>
    </w:p>
    <w:p w14:paraId="3E0CE444">
      <w:pPr>
        <w:spacing w:before="0" w:after="0" w:line="560" w:lineRule="exact"/>
        <w:ind w:firstLine="640"/>
        <w:rPr>
          <w:rFonts w:hint="eastAsia" w:ascii="仿宋_GB2312" w:hAnsi="仿宋_GB2312" w:eastAsia="仿宋_GB2312" w:cs="仿宋_GB2312"/>
          <w:b w:val="0"/>
          <w:color w:val="000000" w:themeColor="text1"/>
          <w:sz w:val="32"/>
          <w:u w:val="singl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u w:val="none"/>
          <w:lang w:val="en-US" w:eastAsia="zh-CN"/>
          <w14:textFill>
            <w14:solidFill>
              <w14:schemeClr w14:val="tx1"/>
            </w14:solidFill>
          </w14:textFill>
        </w:rPr>
        <w:t>9.</w:t>
      </w:r>
      <w:r>
        <w:rPr>
          <w:rFonts w:hint="eastAsia" w:ascii="仿宋_GB2312" w:hAnsi="仿宋_GB2312" w:eastAsia="仿宋_GB2312" w:cs="仿宋_GB2312"/>
          <w:b/>
          <w:bCs/>
          <w:color w:val="000000" w:themeColor="text1"/>
          <w:sz w:val="32"/>
          <w:u w:val="none"/>
          <w:lang w:val="en-US" w:eastAsia="zh-CN"/>
          <w14:textFill>
            <w14:solidFill>
              <w14:schemeClr w14:val="tx1"/>
            </w14:solidFill>
          </w14:textFill>
        </w:rPr>
        <w:t>拓展软件产业出海服务。</w:t>
      </w:r>
      <w:r>
        <w:rPr>
          <w:rFonts w:hint="eastAsia" w:ascii="仿宋_GB2312" w:hAnsi="仿宋_GB2312" w:eastAsia="仿宋_GB2312" w:cs="仿宋_GB2312"/>
          <w:b w:val="0"/>
          <w:color w:val="000000" w:themeColor="text1"/>
          <w:sz w:val="32"/>
          <w:u w:val="none"/>
          <w:lang w:val="en-US" w:eastAsia="zh-CN"/>
          <w14:textFill>
            <w14:solidFill>
              <w14:schemeClr w14:val="tx1"/>
            </w14:solidFill>
          </w14:textFill>
        </w:rPr>
        <w:t>顺应软件服务全球化、云化、智能化趋势，鼓励软件企业由产品出口向能力输出、服务订阅转变，稳步拓展海外市场。支持企业围绕重点国家和区域市场需求，提升产品本地化、多语言适配和跨境交付能力，增强软件服务国际竞争力。深化国际交流合作，用好各类开放平台，推动我省智能软件产品、行业解决方案和服务模式走向国际市场，持续提升“山东软件”的国际影响力和话语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DC7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27C9270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专栏</w:t>
            </w:r>
            <w:r>
              <w:rPr>
                <w:rFonts w:hint="default" w:ascii="Times New Roman" w:hAnsi="Times New Roman" w:eastAsia="仿宋_GB2312" w:cs="Times New Roman"/>
                <w:b/>
                <w:bCs/>
                <w:color w:val="000000" w:themeColor="text1"/>
                <w:sz w:val="32"/>
                <w:szCs w:val="32"/>
                <w:vertAlign w:val="baseline"/>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 xml:space="preserve"> 产业服务模式创新工程</w:t>
            </w:r>
          </w:p>
        </w:tc>
      </w:tr>
      <w:tr w14:paraId="4075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A2013F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bCs w:val="0"/>
                <w:color w:val="000000" w:themeColor="text1"/>
                <w:sz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打造产业赋能中心。</w:t>
            </w:r>
            <w:r>
              <w:rPr>
                <w:rFonts w:hint="eastAsia" w:ascii="仿宋_GB2312" w:hAnsi="仿宋_GB2312" w:eastAsia="仿宋_GB2312" w:cs="仿宋_GB2312"/>
                <w:b w:val="0"/>
                <w:bCs w:val="0"/>
                <w:color w:val="000000" w:themeColor="text1"/>
                <w:sz w:val="32"/>
                <w:highlight w:val="none"/>
                <w:lang w:val="en-US" w:eastAsia="zh-CN"/>
                <w14:textFill>
                  <w14:solidFill>
                    <w14:schemeClr w14:val="tx1"/>
                  </w14:solidFill>
                </w14:textFill>
              </w:rPr>
              <w:t>建设</w:t>
            </w:r>
            <w:r>
              <w:rPr>
                <w:rFonts w:hint="default" w:ascii="Times New Roman" w:hAnsi="Times New Roman" w:eastAsia="仿宋_GB2312" w:cs="Times New Roman"/>
                <w:b w:val="0"/>
                <w:bCs w:val="0"/>
                <w:color w:val="000000" w:themeColor="text1"/>
                <w:sz w:val="32"/>
                <w:highlight w:val="none"/>
                <w:lang w:val="en-US" w:eastAsia="zh-CN"/>
                <w14:textFill>
                  <w14:solidFill>
                    <w14:schemeClr w14:val="tx1"/>
                  </w14:solidFill>
                </w14:textFill>
              </w:rPr>
              <w:t>15</w:t>
            </w:r>
            <w:r>
              <w:rPr>
                <w:rFonts w:hint="eastAsia" w:ascii="仿宋_GB2312" w:hAnsi="仿宋_GB2312" w:eastAsia="仿宋_GB2312" w:cs="仿宋_GB2312"/>
                <w:b w:val="0"/>
                <w:bCs w:val="0"/>
                <w:color w:val="000000" w:themeColor="text1"/>
                <w:sz w:val="32"/>
                <w:highlight w:val="none"/>
                <w:lang w:val="en-US" w:eastAsia="zh-CN"/>
                <w14:textFill>
                  <w14:solidFill>
                    <w14:schemeClr w14:val="tx1"/>
                  </w14:solidFill>
                </w14:textFill>
              </w:rPr>
              <w:t>个左右“人工智能+软件产业赋能中心”，采取软件企业与高校院所结对共建、实体化运营的方式建设，省级统一认定挂牌并给予</w:t>
            </w:r>
            <w:r>
              <w:rPr>
                <w:rFonts w:hint="eastAsia" w:ascii="仿宋_GB2312" w:hAnsi="仿宋_GB2312" w:eastAsia="仿宋_GB2312" w:cs="仿宋_GB2312"/>
                <w:b w:val="0"/>
                <w:bCs w:val="0"/>
                <w:color w:val="000000" w:themeColor="text1"/>
                <w:sz w:val="32"/>
                <w:highlight w:val="none"/>
                <w:u w:val="none"/>
                <w:lang w:val="en-US" w:eastAsia="zh-CN"/>
                <w14:textFill>
                  <w14:solidFill>
                    <w14:schemeClr w14:val="tx1"/>
                  </w14:solidFill>
                </w14:textFill>
              </w:rPr>
              <w:t>政策</w:t>
            </w:r>
            <w:r>
              <w:rPr>
                <w:rFonts w:hint="eastAsia" w:ascii="仿宋_GB2312" w:hAnsi="仿宋_GB2312" w:eastAsia="仿宋_GB2312" w:cs="仿宋_GB2312"/>
                <w:b w:val="0"/>
                <w:bCs w:val="0"/>
                <w:color w:val="000000" w:themeColor="text1"/>
                <w:sz w:val="32"/>
                <w:highlight w:val="none"/>
                <w:lang w:val="en-US" w:eastAsia="zh-CN"/>
                <w14:textFill>
                  <w14:solidFill>
                    <w14:schemeClr w14:val="tx1"/>
                  </w14:solidFill>
                </w14:textFill>
              </w:rPr>
              <w:t>支持；明确中心功能定位，由中心承担场景需求归集、供需对接撮合、服务模式孵化和应用推广等任务，把分散的用户需求与产品供给汇到一张清单上；支持中心开放应用场景、开展试点示范，帮助软件企业把新型服务卖出去、把商业模式跑通；建立年度考核和动态调整机制，运行好、成效实的加大支持，</w:t>
            </w:r>
          </w:p>
          <w:p w14:paraId="5EF20C1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color w:val="000000" w:themeColor="text1"/>
                <w:sz w:val="32"/>
                <w:lang w:val="en-US"/>
                <w14:textFill>
                  <w14:solidFill>
                    <w14:schemeClr w14:val="tx1"/>
                  </w14:solidFill>
                </w14:textFill>
              </w:rPr>
            </w:pP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培育</w:t>
            </w:r>
            <w:r>
              <w:rPr>
                <w:rFonts w:hint="default" w:ascii="Times New Roman" w:hAnsi="Times New Roman" w:eastAsia="仿宋_GB2312" w:cs="Times New Roman"/>
                <w:b/>
                <w:bCs/>
                <w:color w:val="000000" w:themeColor="text1"/>
                <w:sz w:val="32"/>
                <w:highlight w:val="none"/>
                <w:lang w:val="en-US" w:eastAsia="zh-CN"/>
                <w14:textFill>
                  <w14:solidFill>
                    <w14:schemeClr w14:val="tx1"/>
                  </w14:solidFill>
                </w14:textFill>
              </w:rPr>
              <w:t>OPC</w:t>
            </w: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创新主体。</w:t>
            </w:r>
            <w:r>
              <w:rPr>
                <w:rFonts w:hint="eastAsia" w:ascii="仿宋_GB2312" w:hAnsi="仿宋_GB2312" w:eastAsia="仿宋_GB2312" w:cs="仿宋_GB2312"/>
                <w:b w:val="0"/>
                <w:color w:val="000000" w:themeColor="text1"/>
                <w:sz w:val="32"/>
                <w:lang w:val="en-US"/>
                <w14:textFill>
                  <w14:solidFill>
                    <w14:schemeClr w14:val="tx1"/>
                  </w14:solidFill>
                </w14:textFill>
              </w:rPr>
              <w:t>统筹规划布局一批人工智能</w:t>
            </w:r>
            <w:r>
              <w:rPr>
                <w:rFonts w:hint="default" w:ascii="Times New Roman" w:hAnsi="Times New Roman" w:eastAsia="仿宋_GB2312" w:cs="Times New Roman"/>
                <w:b w:val="0"/>
                <w:color w:val="000000" w:themeColor="text1"/>
                <w:sz w:val="32"/>
                <w:lang w:val="en-US"/>
                <w14:textFill>
                  <w14:solidFill>
                    <w14:schemeClr w14:val="tx1"/>
                  </w14:solidFill>
                </w14:textFill>
              </w:rPr>
              <w:t>OPC</w:t>
            </w:r>
            <w:r>
              <w:rPr>
                <w:rFonts w:hint="eastAsia" w:ascii="仿宋_GB2312" w:hAnsi="仿宋_GB2312" w:eastAsia="仿宋_GB2312" w:cs="仿宋_GB2312"/>
                <w:b w:val="0"/>
                <w:color w:val="000000" w:themeColor="text1"/>
                <w:sz w:val="32"/>
                <w:lang w:val="en-US"/>
                <w14:textFill>
                  <w14:solidFill>
                    <w14:schemeClr w14:val="tx1"/>
                  </w14:solidFill>
                </w14:textFill>
              </w:rPr>
              <w:t>特色园区和创业社区，由地方提供场地、专业机构负责运营，省级加强指导和资源导入；园区社区按创业团队的实际需要配齐要素、打包服务，一站式解决办公、技术、合规和政策问题；常态化开展创业大赛、路演对接和投融资撮合，帮助初创团队找资金、找订单、找伙伴。</w:t>
            </w:r>
          </w:p>
          <w:p w14:paraId="1335E1D1">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color w:val="000000" w:themeColor="text1"/>
                <w:sz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u w:val="none"/>
                <w:lang w:val="en-US" w:eastAsia="zh-CN"/>
                <w14:textFill>
                  <w14:solidFill>
                    <w14:schemeClr w14:val="tx1"/>
                  </w14:solidFill>
                </w14:textFill>
              </w:rPr>
              <w:t>拓展海外市场。</w:t>
            </w:r>
            <w:r>
              <w:rPr>
                <w:rFonts w:hint="eastAsia" w:ascii="仿宋_GB2312" w:hAnsi="仿宋_GB2312" w:eastAsia="仿宋_GB2312" w:cs="仿宋_GB2312"/>
                <w:b w:val="0"/>
                <w:color w:val="000000" w:themeColor="text1"/>
                <w:sz w:val="32"/>
                <w:u w:val="none"/>
                <w:lang w:val="en-US" w:eastAsia="zh-CN"/>
                <w14:textFill>
                  <w14:solidFill>
                    <w14:schemeClr w14:val="tx1"/>
                  </w14:solidFill>
                </w14:textFill>
              </w:rPr>
              <w:t>推动软件服务由产品交付向能力输出升级，支持企业以</w:t>
            </w:r>
            <w:r>
              <w:rPr>
                <w:rFonts w:hint="default" w:ascii="Times New Roman" w:hAnsi="Times New Roman" w:eastAsia="仿宋_GB2312" w:cs="Times New Roman"/>
                <w:b w:val="0"/>
                <w:color w:val="000000" w:themeColor="text1"/>
                <w:sz w:val="32"/>
                <w:u w:val="none"/>
                <w:lang w:val="en-US" w:eastAsia="zh-CN"/>
                <w14:textFill>
                  <w14:solidFill>
                    <w14:schemeClr w14:val="tx1"/>
                  </w14:solidFill>
                </w14:textFill>
              </w:rPr>
              <w:t>SaaS、MaaS、</w:t>
            </w:r>
            <w:r>
              <w:rPr>
                <w:rFonts w:hint="eastAsia" w:ascii="仿宋_GB2312" w:hAnsi="仿宋_GB2312" w:eastAsia="仿宋_GB2312" w:cs="仿宋_GB2312"/>
                <w:b w:val="0"/>
                <w:color w:val="000000" w:themeColor="text1"/>
                <w:sz w:val="32"/>
                <w:u w:val="none"/>
                <w:lang w:val="en-US" w:eastAsia="zh-CN"/>
                <w14:textFill>
                  <w14:solidFill>
                    <w14:schemeClr w14:val="tx1"/>
                  </w14:solidFill>
                </w14:textFill>
              </w:rPr>
              <w:t>智能体即服务等形式拓展海外市场，探索“</w:t>
            </w:r>
            <w:r>
              <w:rPr>
                <w:rFonts w:hint="default" w:ascii="Times New Roman" w:hAnsi="Times New Roman" w:eastAsia="仿宋_GB2312" w:cs="Times New Roman"/>
                <w:b w:val="0"/>
                <w:color w:val="000000" w:themeColor="text1"/>
                <w:sz w:val="32"/>
                <w:u w:val="none"/>
                <w:lang w:val="en-US" w:eastAsia="zh-CN"/>
                <w14:textFill>
                  <w14:solidFill>
                    <w14:schemeClr w14:val="tx1"/>
                  </w14:solidFill>
                </w14:textFill>
              </w:rPr>
              <w:t>Token</w:t>
            </w:r>
            <w:r>
              <w:rPr>
                <w:rFonts w:hint="eastAsia" w:ascii="仿宋_GB2312" w:hAnsi="仿宋_GB2312" w:eastAsia="仿宋_GB2312" w:cs="仿宋_GB2312"/>
                <w:b w:val="0"/>
                <w:color w:val="000000" w:themeColor="text1"/>
                <w:sz w:val="32"/>
                <w:u w:val="none"/>
                <w:lang w:val="en-US" w:eastAsia="zh-CN"/>
                <w14:textFill>
                  <w14:solidFill>
                    <w14:schemeClr w14:val="tx1"/>
                  </w14:solidFill>
                </w14:textFill>
              </w:rPr>
              <w:t>（词元）出海”等跨境算力与模型服务新模式，完善多语言、多币种、多法域的交付与运营能力。深化与上合组织国家、共建“一带一路”国家及东南亚、中亚等重点区域合作。</w:t>
            </w:r>
          </w:p>
        </w:tc>
      </w:tr>
    </w:tbl>
    <w:p w14:paraId="54B2982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Times New Roman" w:hAnsi="Times New Roman" w:eastAsia="仿宋_GB2312" w:cs="Times New Roman"/>
          <w:b/>
          <w:bCs/>
          <w:color w:val="000000" w:themeColor="text1"/>
          <w:sz w:val="32"/>
          <w:lang w:val="en-US" w:eastAsia="zh-CN"/>
          <w14:textFill>
            <w14:solidFill>
              <w14:schemeClr w14:val="tx1"/>
            </w14:solidFill>
          </w14:textFill>
        </w:rPr>
      </w:pP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四</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）打造开放协同的产业生态</w:t>
      </w:r>
    </w:p>
    <w:p w14:paraId="54C058BA">
      <w:pPr>
        <w:spacing w:before="0" w:after="0" w:line="560" w:lineRule="exact"/>
        <w:ind w:firstLine="640"/>
        <w:rPr>
          <w:rFonts w:hint="eastAsia" w:ascii="仿宋_GB2312" w:hAnsi="仿宋_GB2312" w:eastAsia="仿宋_GB2312" w:cs="仿宋_GB2312"/>
          <w:b/>
          <w:bCs/>
          <w:color w:val="000000" w:themeColor="text1"/>
          <w:sz w:val="32"/>
          <w:highlight w:val="yellow"/>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lang w:val="en-US" w:eastAsia="zh-CN"/>
          <w14:textFill>
            <w14:solidFill>
              <w14:schemeClr w14:val="tx1"/>
            </w14:solidFill>
          </w14:textFill>
        </w:rPr>
        <w:t>10</w:t>
      </w:r>
      <w:r>
        <w:rPr>
          <w:rFonts w:hint="default" w:ascii="Times New Roman" w:hAnsi="Times New Roman" w:eastAsia="仿宋_GB2312" w:cs="Times New Roman"/>
          <w:b/>
          <w:bCs/>
          <w:color w:val="000000" w:themeColor="text1"/>
          <w:sz w:val="32"/>
          <w14:textFill>
            <w14:solidFill>
              <w14:schemeClr w14:val="tx1"/>
            </w14:solidFill>
          </w14:textFill>
        </w:rPr>
        <w:t>.</w:t>
      </w:r>
      <w:r>
        <w:rPr>
          <w:rFonts w:hint="eastAsia" w:ascii="仿宋_GB2312" w:hAnsi="仿宋_GB2312" w:eastAsia="仿宋_GB2312" w:cs="仿宋_GB2312"/>
          <w:b/>
          <w:bCs/>
          <w:color w:val="000000" w:themeColor="text1"/>
          <w:sz w:val="32"/>
          <w14:textFill>
            <w14:solidFill>
              <w14:schemeClr w14:val="tx1"/>
            </w14:solidFill>
          </w14:textFill>
        </w:rPr>
        <w:t>建设</w:t>
      </w:r>
      <w:r>
        <w:rPr>
          <w:rFonts w:hint="eastAsia" w:ascii="仿宋_GB2312" w:hAnsi="仿宋_GB2312" w:eastAsia="仿宋_GB2312" w:cs="仿宋_GB2312"/>
          <w:b/>
          <w:bCs/>
          <w:color w:val="000000" w:themeColor="text1"/>
          <w:sz w:val="32"/>
          <w:lang w:eastAsia="zh-CN"/>
          <w14:textFill>
            <w14:solidFill>
              <w14:schemeClr w14:val="tx1"/>
            </w14:solidFill>
          </w14:textFill>
        </w:rPr>
        <w:t>“</w:t>
      </w:r>
      <w:r>
        <w:rPr>
          <w:rFonts w:hint="eastAsia" w:ascii="仿宋_GB2312" w:hAnsi="仿宋_GB2312" w:eastAsia="仿宋_GB2312" w:cs="仿宋_GB2312"/>
          <w:b/>
          <w:bCs/>
          <w:color w:val="000000" w:themeColor="text1"/>
          <w:sz w:val="32"/>
          <w14:textFill>
            <w14:solidFill>
              <w14:schemeClr w14:val="tx1"/>
            </w14:solidFill>
          </w14:textFill>
        </w:rPr>
        <w:t>齐鲁源创</w:t>
      </w:r>
      <w:r>
        <w:rPr>
          <w:rFonts w:hint="eastAsia" w:ascii="仿宋_GB2312" w:hAnsi="仿宋_GB2312" w:eastAsia="仿宋_GB2312" w:cs="仿宋_GB2312"/>
          <w:b/>
          <w:bCs/>
          <w:color w:val="000000" w:themeColor="text1"/>
          <w:sz w:val="32"/>
          <w:lang w:eastAsia="zh-CN"/>
          <w14:textFill>
            <w14:solidFill>
              <w14:schemeClr w14:val="tx1"/>
            </w14:solidFill>
          </w14:textFill>
        </w:rPr>
        <w:t>”</w:t>
      </w:r>
      <w:r>
        <w:rPr>
          <w:rFonts w:hint="eastAsia" w:ascii="仿宋_GB2312" w:hAnsi="仿宋_GB2312" w:eastAsia="仿宋_GB2312" w:cs="仿宋_GB2312"/>
          <w:b/>
          <w:bCs/>
          <w:color w:val="000000" w:themeColor="text1"/>
          <w:sz w:val="32"/>
          <w14:textFill>
            <w14:solidFill>
              <w14:schemeClr w14:val="tx1"/>
            </w14:solidFill>
          </w14:textFill>
        </w:rPr>
        <w:t>开源生态。</w:t>
      </w:r>
      <w:r>
        <w:rPr>
          <w:rFonts w:hint="eastAsia" w:ascii="仿宋_GB2312" w:hAnsi="仿宋_GB2312" w:eastAsia="仿宋_GB2312" w:cs="仿宋_GB2312"/>
          <w:b w:val="0"/>
          <w:color w:val="000000" w:themeColor="text1"/>
          <w:sz w:val="32"/>
          <w14:textFill>
            <w14:solidFill>
              <w14:schemeClr w14:val="tx1"/>
            </w14:solidFill>
          </w14:textFill>
        </w:rPr>
        <w:t>完善开源项目发现、评价、入库和推广机制，吸纳优质开源软件产品和项目，推动企业、园区、高校建设一批项目型、开发者型、用户型开源社区，强化与</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国内</w:t>
      </w:r>
      <w:r>
        <w:rPr>
          <w:rFonts w:hint="eastAsia" w:ascii="仿宋_GB2312" w:hAnsi="仿宋_GB2312" w:eastAsia="仿宋_GB2312" w:cs="仿宋_GB2312"/>
          <w:b w:val="0"/>
          <w:color w:val="000000" w:themeColor="text1"/>
          <w:sz w:val="32"/>
          <w14:textFill>
            <w14:solidFill>
              <w14:schemeClr w14:val="tx1"/>
            </w14:solidFill>
          </w14:textFill>
        </w:rPr>
        <w:t>知名开源代码托管平台合作，提升开源项目孵化、社区运营、产权托管、许可证合规、安全审计等服务能力。加快推动金融、交通、能源、教育等重点领域开发开源鸿蒙等开源操作系统版本，同步推进存量产品和系统迁移适配，促进开源技术规模化应用，打造开放协同、安全可控、共建共享的开源创新生态。</w:t>
      </w:r>
    </w:p>
    <w:p w14:paraId="4913C678">
      <w:pPr>
        <w:spacing w:before="0" w:after="0" w:line="560" w:lineRule="exact"/>
        <w:ind w:firstLine="640"/>
        <w:rPr>
          <w:rFonts w:hint="eastAsia" w:ascii="仿宋_GB2312" w:hAnsi="仿宋_GB2312" w:eastAsia="仿宋_GB2312" w:cs="仿宋_GB2312"/>
          <w:b w:val="0"/>
          <w:color w:val="FF0000"/>
          <w:sz w:val="32"/>
          <w:highlight w:val="none"/>
          <w:lang w:eastAsia="zh-CN"/>
        </w:rPr>
      </w:pPr>
      <w:r>
        <w:rPr>
          <w:rFonts w:hint="default" w:ascii="Times New Roman" w:hAnsi="Times New Roman" w:eastAsia="仿宋_GB2312" w:cs="Times New Roman"/>
          <w:b/>
          <w:bCs/>
          <w:color w:val="000000" w:themeColor="text1"/>
          <w:sz w:val="32"/>
          <w:lang w:val="en-US" w:eastAsia="zh-CN"/>
          <w14:textFill>
            <w14:solidFill>
              <w14:schemeClr w14:val="tx1"/>
            </w14:solidFill>
          </w14:textFill>
        </w:rPr>
        <w:t>11</w:t>
      </w:r>
      <w:r>
        <w:rPr>
          <w:rFonts w:hint="default" w:ascii="Times New Roman" w:hAnsi="Times New Roman" w:eastAsia="仿宋_GB2312" w:cs="Times New Roman"/>
          <w:b/>
          <w:bCs/>
          <w:color w:val="000000" w:themeColor="text1"/>
          <w:sz w:val="32"/>
          <w14:textFill>
            <w14:solidFill>
              <w14:schemeClr w14:val="tx1"/>
            </w14:solidFill>
          </w14:textFill>
        </w:rPr>
        <w:t>.</w:t>
      </w:r>
      <w:r>
        <w:rPr>
          <w:rFonts w:hint="eastAsia" w:ascii="仿宋_GB2312" w:hAnsi="仿宋_GB2312" w:eastAsia="仿宋_GB2312" w:cs="仿宋_GB2312"/>
          <w:b/>
          <w:bCs/>
          <w:color w:val="000000" w:themeColor="text1"/>
          <w:sz w:val="32"/>
          <w14:textFill>
            <w14:solidFill>
              <w14:schemeClr w14:val="tx1"/>
            </w14:solidFill>
          </w14:textFill>
        </w:rPr>
        <w:t>凝聚产业发展合力</w:t>
      </w:r>
      <w:r>
        <w:rPr>
          <w:rFonts w:hint="eastAsia" w:ascii="仿宋_GB2312" w:hAnsi="仿宋_GB2312" w:eastAsia="仿宋_GB2312" w:cs="仿宋_GB2312"/>
          <w:b/>
          <w:bCs/>
          <w:color w:val="000000" w:themeColor="text1"/>
          <w:sz w:val="32"/>
          <w:lang w:eastAsia="zh-CN"/>
          <w14:textFill>
            <w14:solidFill>
              <w14:schemeClr w14:val="tx1"/>
            </w14:solidFill>
          </w14:textFill>
        </w:rPr>
        <w:t>。</w:t>
      </w:r>
      <w:r>
        <w:rPr>
          <w:rFonts w:hint="eastAsia" w:ascii="仿宋_GB2312" w:hAnsi="仿宋_GB2312" w:eastAsia="仿宋_GB2312" w:cs="仿宋_GB2312"/>
          <w:b w:val="0"/>
          <w:color w:val="000000" w:themeColor="text1"/>
          <w:sz w:val="32"/>
          <w14:textFill>
            <w14:solidFill>
              <w14:schemeClr w14:val="tx1"/>
            </w14:solidFill>
          </w14:textFill>
        </w:rPr>
        <w:t>发挥</w:t>
      </w:r>
      <w:r>
        <w:rPr>
          <w:rFonts w:hint="eastAsia" w:ascii="仿宋_GB2312" w:hAnsi="仿宋_GB2312" w:eastAsia="仿宋_GB2312" w:cs="仿宋_GB2312"/>
          <w:b w:val="0"/>
          <w:bCs w:val="0"/>
          <w:color w:val="000000" w:themeColor="text1"/>
          <w:sz w:val="32"/>
          <w:u w:val="none"/>
          <w:lang w:val="en-US" w:eastAsia="zh-CN"/>
          <w14:textFill>
            <w14:solidFill>
              <w14:schemeClr w14:val="tx1"/>
            </w14:solidFill>
          </w14:textFill>
        </w:rPr>
        <w:t>省内协会、学会、商会</w:t>
      </w:r>
      <w:r>
        <w:rPr>
          <w:rFonts w:hint="eastAsia" w:ascii="仿宋_GB2312" w:hAnsi="仿宋_GB2312" w:eastAsia="仿宋_GB2312" w:cs="仿宋_GB2312"/>
          <w:b w:val="0"/>
          <w:color w:val="000000" w:themeColor="text1"/>
          <w:sz w:val="32"/>
          <w14:textFill>
            <w14:solidFill>
              <w14:schemeClr w14:val="tx1"/>
            </w14:solidFill>
          </w14:textFill>
        </w:rPr>
        <w:t>等组织的桥梁纽带作用，聚合产学研用各方力量，支持其牵头举办行业会议、展览展示和对接交流活动，搭建软件企业与制造业用户企业常态化沟通渠道，促进技术、产品、场景、资本有效衔接，放大我省</w:t>
      </w:r>
      <w:r>
        <w:rPr>
          <w:rFonts w:hint="eastAsia" w:ascii="仿宋_GB2312" w:hAnsi="仿宋_GB2312" w:eastAsia="仿宋_GB2312" w:cs="仿宋_GB2312"/>
          <w:b w:val="0"/>
          <w:color w:val="000000" w:themeColor="text1"/>
          <w:sz w:val="32"/>
          <w:lang w:eastAsia="zh-CN"/>
          <w14:textFill>
            <w14:solidFill>
              <w14:schemeClr w14:val="tx1"/>
            </w14:solidFill>
          </w14:textFill>
        </w:rPr>
        <w:t>“</w:t>
      </w:r>
      <w:r>
        <w:rPr>
          <w:rFonts w:hint="eastAsia" w:ascii="仿宋_GB2312" w:hAnsi="仿宋_GB2312" w:eastAsia="仿宋_GB2312" w:cs="仿宋_GB2312"/>
          <w:b w:val="0"/>
          <w:color w:val="000000" w:themeColor="text1"/>
          <w:sz w:val="32"/>
          <w14:textFill>
            <w14:solidFill>
              <w14:schemeClr w14:val="tx1"/>
            </w14:solidFill>
          </w14:textFill>
        </w:rPr>
        <w:t>人工智能+工业软件</w:t>
      </w:r>
      <w:r>
        <w:rPr>
          <w:rFonts w:hint="eastAsia" w:ascii="仿宋_GB2312" w:hAnsi="仿宋_GB2312" w:eastAsia="仿宋_GB2312" w:cs="仿宋_GB2312"/>
          <w:b w:val="0"/>
          <w:color w:val="000000" w:themeColor="text1"/>
          <w:sz w:val="32"/>
          <w:lang w:eastAsia="zh-CN"/>
          <w14:textFill>
            <w14:solidFill>
              <w14:schemeClr w14:val="tx1"/>
            </w14:solidFill>
          </w14:textFill>
        </w:rPr>
        <w:t>”</w:t>
      </w:r>
      <w:r>
        <w:rPr>
          <w:rFonts w:hint="eastAsia" w:ascii="仿宋_GB2312" w:hAnsi="仿宋_GB2312" w:eastAsia="仿宋_GB2312" w:cs="仿宋_GB2312"/>
          <w:b w:val="0"/>
          <w:color w:val="000000" w:themeColor="text1"/>
          <w:sz w:val="32"/>
          <w14:textFill>
            <w14:solidFill>
              <w14:schemeClr w14:val="tx1"/>
            </w14:solidFill>
          </w14:textFill>
        </w:rPr>
        <w:t>整体竞争力，推动重大项目、重大合作在鲁签约落地。</w:t>
      </w:r>
    </w:p>
    <w:p w14:paraId="610EDC81">
      <w:pPr>
        <w:spacing w:before="0" w:after="0" w:line="560" w:lineRule="exact"/>
        <w:ind w:firstLine="640"/>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12.</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深化信创产学研协同。</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构建“企业场景迭代、院校育才赋能、软件升级优化”的产学研闭环，支持基础软件企业联合高校及芯片、服务器等硬件厂商，开展底层适配与软硬协同优化联合攻关，强化国产软硬件适配验证；面向信创岗位实施订单式培养，引导高校人才向信创企业和重大项目集聚，推动技术攻关、适配验证、人才培养与产业应用高效衔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22B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F90402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themeColor="text1"/>
                <w:sz w:val="32"/>
                <w:szCs w:val="32"/>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专栏</w:t>
            </w:r>
            <w:r>
              <w:rPr>
                <w:rFonts w:hint="default" w:ascii="Times New Roman" w:hAnsi="Times New Roman" w:eastAsia="仿宋_GB2312" w:cs="Times New Roman"/>
                <w:b/>
                <w:bCs/>
                <w:color w:val="000000" w:themeColor="text1"/>
                <w:sz w:val="32"/>
                <w:szCs w:val="32"/>
                <w:vertAlign w:val="baseline"/>
                <w:lang w:val="en-US" w:eastAsia="zh-CN"/>
                <w14:textFill>
                  <w14:solidFill>
                    <w14:schemeClr w14:val="tx1"/>
                  </w14:solidFill>
                </w14:textFill>
              </w:rPr>
              <w:t xml:space="preserve">4 </w:t>
            </w:r>
            <w:r>
              <w:rPr>
                <w:rFonts w:hint="eastAsia" w:ascii="仿宋_GB2312" w:hAnsi="仿宋_GB2312" w:eastAsia="仿宋_GB2312" w:cs="仿宋_GB2312"/>
                <w:b/>
                <w:bCs/>
                <w:color w:val="000000" w:themeColor="text1"/>
                <w:sz w:val="32"/>
                <w:szCs w:val="32"/>
                <w:vertAlign w:val="baseline"/>
                <w:lang w:val="en-US" w:eastAsia="zh-CN"/>
                <w14:textFill>
                  <w14:solidFill>
                    <w14:schemeClr w14:val="tx1"/>
                  </w14:solidFill>
                </w14:textFill>
              </w:rPr>
              <w:t>产业生态体系建设工程</w:t>
            </w:r>
          </w:p>
        </w:tc>
      </w:tr>
      <w:tr w14:paraId="1383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1485EF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color w:val="000000" w:themeColor="text1"/>
                <w:sz w:val="32"/>
                <w:highlight w:val="cyan"/>
                <w:lang w:eastAsia="zh-CN"/>
                <w14:textFill>
                  <w14:solidFill>
                    <w14:schemeClr w14:val="tx1"/>
                  </w14:solidFill>
                </w14:textFill>
              </w:rPr>
            </w:pP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开源生态建设。</w:t>
            </w:r>
            <w:r>
              <w:rPr>
                <w:rFonts w:hint="eastAsia" w:ascii="仿宋_GB2312" w:hAnsi="仿宋_GB2312" w:eastAsia="仿宋_GB2312" w:cs="仿宋_GB2312"/>
                <w:b w:val="0"/>
                <w:color w:val="000000" w:themeColor="text1"/>
                <w:sz w:val="32"/>
                <w:highlight w:val="none"/>
                <w14:textFill>
                  <w14:solidFill>
                    <w14:schemeClr w14:val="tx1"/>
                  </w14:solidFill>
                </w14:textFill>
              </w:rPr>
              <w:t>实行品牌化运营，建立统一入库标准和动态管理机制；支持企业、园区、高校牵头建设开源社区，明确责任分工，给予场地、活动和运营经费支持；与主流开源代码托管平台建立稳定合作，打通托管、镜像、产权服务通道；组织行业用户同操作系统厂商、软件企业协同攻关，分批推进迁移适配；每年择优孵化</w:t>
            </w:r>
            <w:r>
              <w:rPr>
                <w:rFonts w:hint="default" w:ascii="Times New Roman" w:hAnsi="Times New Roman" w:eastAsia="仿宋_GB2312" w:cs="Times New Roman"/>
                <w:b w:val="0"/>
                <w:color w:val="000000" w:themeColor="text1"/>
                <w:sz w:val="32"/>
                <w:highlight w:val="none"/>
                <w:lang w:val="en-US" w:eastAsia="zh-CN"/>
                <w14:textFill>
                  <w14:solidFill>
                    <w14:schemeClr w14:val="tx1"/>
                  </w14:solidFill>
                </w14:textFill>
              </w:rPr>
              <w:t>1</w:t>
            </w:r>
            <w:r>
              <w:rPr>
                <w:rFonts w:hint="eastAsia" w:ascii="仿宋_GB2312" w:hAnsi="仿宋_GB2312" w:eastAsia="仿宋_GB2312" w:cs="仿宋_GB2312"/>
                <w:b w:val="0"/>
                <w:color w:val="000000" w:themeColor="text1"/>
                <w:sz w:val="32"/>
                <w:highlight w:val="none"/>
                <w:lang w:val="en-US" w:eastAsia="zh-CN"/>
                <w14:textFill>
                  <w14:solidFill>
                    <w14:schemeClr w14:val="tx1"/>
                  </w14:solidFill>
                </w14:textFill>
              </w:rPr>
              <w:t>个</w:t>
            </w:r>
            <w:r>
              <w:rPr>
                <w:rFonts w:hint="eastAsia" w:ascii="仿宋_GB2312" w:hAnsi="仿宋_GB2312" w:eastAsia="仿宋_GB2312" w:cs="仿宋_GB2312"/>
                <w:b w:val="0"/>
                <w:color w:val="000000" w:themeColor="text1"/>
                <w:sz w:val="32"/>
                <w:highlight w:val="none"/>
                <w14:textFill>
                  <w14:solidFill>
                    <w14:schemeClr w14:val="tx1"/>
                  </w14:solidFill>
                </w14:textFill>
              </w:rPr>
              <w:t>优质开源项目并给予</w:t>
            </w:r>
            <w:r>
              <w:rPr>
                <w:rFonts w:hint="eastAsia" w:ascii="仿宋_GB2312" w:hAnsi="仿宋_GB2312" w:eastAsia="仿宋_GB2312" w:cs="仿宋_GB2312"/>
                <w:b w:val="0"/>
                <w:bCs w:val="0"/>
                <w:color w:val="000000" w:themeColor="text1"/>
                <w:sz w:val="32"/>
                <w:highlight w:val="none"/>
                <w:u w:val="none"/>
                <w:lang w:val="en-US" w:eastAsia="zh-CN"/>
                <w14:textFill>
                  <w14:solidFill>
                    <w14:schemeClr w14:val="tx1"/>
                  </w14:solidFill>
                </w14:textFill>
              </w:rPr>
              <w:t>政策</w:t>
            </w:r>
            <w:r>
              <w:rPr>
                <w:rFonts w:hint="eastAsia" w:ascii="仿宋_GB2312" w:hAnsi="仿宋_GB2312" w:eastAsia="仿宋_GB2312" w:cs="仿宋_GB2312"/>
                <w:b w:val="0"/>
                <w:color w:val="000000" w:themeColor="text1"/>
                <w:sz w:val="32"/>
                <w:highlight w:val="none"/>
                <w14:textFill>
                  <w14:solidFill>
                    <w14:schemeClr w14:val="tx1"/>
                  </w14:solidFill>
                </w14:textFill>
              </w:rPr>
              <w:t>支持，对贡献突出的社区、开发者和项目集中宣传推介。</w:t>
            </w:r>
          </w:p>
          <w:p w14:paraId="1250E24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color w:val="FF0000"/>
                <w:sz w:val="32"/>
                <w:highlight w:val="none"/>
                <w:lang w:val="en-US" w:eastAsia="zh-CN"/>
              </w:rPr>
            </w:pP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产业发展合力。</w:t>
            </w:r>
            <w:r>
              <w:rPr>
                <w:rFonts w:hint="eastAsia" w:ascii="仿宋_GB2312" w:hAnsi="仿宋_GB2312" w:eastAsia="仿宋_GB2312" w:cs="仿宋_GB2312"/>
                <w:b w:val="0"/>
                <w:color w:val="000000" w:themeColor="text1"/>
                <w:sz w:val="32"/>
                <w:highlight w:val="none"/>
                <w:lang w:val="en-US" w:eastAsia="zh-CN"/>
                <w14:textFill>
                  <w14:solidFill>
                    <w14:schemeClr w14:val="tx1"/>
                  </w14:solidFill>
                </w14:textFill>
              </w:rPr>
              <w:t>依托中国（山东）国际装备制造业博览会设立“智能工业软件”专题展区，由省协会、联盟牵头统一组织省内工业软件和智能软件企业以联合参展形式集中展示；展区内设置产品展示、场景体验和供需洽谈功能区，定向邀请制造业重点企业和行业用户到场，安排专场对接、现场路演和一对一洽谈，对现场达成的合作意向建立台账、会后跟踪服务，确保交流成果落到实处。</w:t>
            </w:r>
          </w:p>
          <w:p w14:paraId="65ADD2C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val="0"/>
                <w:color w:val="000000" w:themeColor="text1"/>
                <w:sz w:val="32"/>
                <w:highlight w:val="cyan"/>
                <w:lang w:val="en-US" w:eastAsia="zh-CN"/>
                <w14:textFill>
                  <w14:solidFill>
                    <w14:schemeClr w14:val="tx1"/>
                  </w14:solidFill>
                </w14:textFill>
              </w:rPr>
            </w:pPr>
            <w:r>
              <w:rPr>
                <w:rFonts w:hint="eastAsia" w:ascii="仿宋_GB2312" w:hAnsi="仿宋_GB2312" w:eastAsia="仿宋_GB2312" w:cs="仿宋_GB2312"/>
                <w:b/>
                <w:bCs/>
                <w:color w:val="000000" w:themeColor="text1"/>
                <w:sz w:val="32"/>
                <w:highlight w:val="none"/>
                <w:lang w:val="en-US" w:eastAsia="zh-CN"/>
                <w14:textFill>
                  <w14:solidFill>
                    <w14:schemeClr w14:val="tx1"/>
                  </w14:solidFill>
                </w14:textFill>
              </w:rPr>
              <w:t>信创产学研协同。</w:t>
            </w:r>
            <w:r>
              <w:rPr>
                <w:rFonts w:hint="eastAsia" w:ascii="仿宋_GB2312" w:hAnsi="仿宋_GB2312" w:eastAsia="仿宋_GB2312" w:cs="仿宋_GB2312"/>
                <w:b w:val="0"/>
                <w:color w:val="000000" w:themeColor="text1"/>
                <w:sz w:val="32"/>
                <w:highlight w:val="none"/>
                <w:lang w:val="en-US" w:eastAsia="zh-CN"/>
                <w14:textFill>
                  <w14:solidFill>
                    <w14:schemeClr w14:val="tx1"/>
                  </w14:solidFill>
                </w14:textFill>
              </w:rPr>
              <w:t>由基础软件企业牵头，联合高校及芯片、服务器等硬件厂商共同出资建设运营，省级配套场地、设备和经费，力争建成国家级适配中心。承担底层适配、软硬协同优化和适配验证，统一受理需求、出具结果，面向全行业提供适配测试、验证认证和技术咨询，实行公益服务与市场化收费相结合。建立联合管理机制，健全任务分配、成果共享和绩效评价制度，按年度考核投入产出和产业带动成效，动态调整支持力度。</w:t>
            </w:r>
          </w:p>
        </w:tc>
      </w:tr>
    </w:tbl>
    <w:p w14:paraId="42F720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ins w:id="0" w:author="盖盖" w:date="2026-09-01T17:57:45Z"/>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三、</w:t>
      </w: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保障措施</w:t>
      </w:r>
    </w:p>
    <w:p w14:paraId="038C1ECC">
      <w:pPr>
        <w:keepNext w:val="0"/>
        <w:keepLines w:val="0"/>
        <w:pageBreakBefore w:val="0"/>
        <w:widowControl/>
        <w:kinsoku/>
        <w:wordWrap/>
        <w:overflowPunct/>
        <w:topLinePunct w:val="0"/>
        <w:autoSpaceDE/>
        <w:autoSpaceDN/>
        <w:bidi w:val="0"/>
        <w:adjustRightInd/>
        <w:snapToGrid/>
        <w:spacing w:line="560" w:lineRule="exact"/>
        <w:ind w:firstLine="640" w:firstLineChars="0"/>
        <w:textAlignment w:val="auto"/>
        <w:rPr>
          <w:rFonts w:hint="default" w:ascii="Times New Roman" w:hAnsi="Times New Roman" w:eastAsia="仿宋_GB2312" w:cs="Times New Roman"/>
          <w:b w:val="0"/>
          <w:color w:val="000000" w:themeColor="text1"/>
          <w:sz w:val="32"/>
          <w:lang w:eastAsia="zh-CN"/>
          <w14:textFill>
            <w14:solidFill>
              <w14:schemeClr w14:val="tx1"/>
            </w14:solidFill>
          </w14:textFill>
        </w:rPr>
        <w:pPrChange w:id="1" w:author="盖盖" w:date="2026-09-01T17:57:46Z">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pPr>
        </w:pPrChange>
      </w:pPr>
      <w:r>
        <w:rPr>
          <w:rFonts w:hint="eastAsia" w:ascii="仿宋_GB2312" w:hAnsi="仿宋_GB2312" w:eastAsia="仿宋_GB2312" w:cs="仿宋_GB2312"/>
          <w:b w:val="0"/>
          <w:color w:val="000000" w:themeColor="text1"/>
          <w:sz w:val="32"/>
          <w:lang w:eastAsia="zh-CN"/>
          <w14:textFill>
            <w14:solidFill>
              <w14:schemeClr w14:val="tx1"/>
            </w14:solidFill>
          </w14:textFill>
        </w:rPr>
        <w:t>加强组织领导，健全统筹协调和部门协同、省市联动工作机制，明确责任分工。统筹现有财政专项资金和产业基金，聚焦智能编程、软件智能工厂、首版次软件、中试平台、开源社区等关键环节精准支持，落实研发费用加计扣除等普惠政策；围绕</w:t>
      </w:r>
      <w:r>
        <w:rPr>
          <w:rFonts w:hint="default" w:ascii="Times New Roman" w:hAnsi="Times New Roman" w:eastAsia="仿宋_GB2312" w:cs="Times New Roman"/>
          <w:b w:val="0"/>
          <w:color w:val="000000" w:themeColor="text1"/>
          <w:sz w:val="32"/>
          <w:lang w:eastAsia="zh-CN"/>
          <w14:textFill>
            <w14:solidFill>
              <w14:schemeClr w14:val="tx1"/>
            </w14:solidFill>
          </w14:textFill>
        </w:rPr>
        <w:t>FDE</w:t>
      </w:r>
      <w:r>
        <w:rPr>
          <w:rFonts w:hint="eastAsia" w:ascii="仿宋_GB2312" w:hAnsi="仿宋_GB2312" w:eastAsia="仿宋_GB2312" w:cs="仿宋_GB2312"/>
          <w:b w:val="0"/>
          <w:color w:val="000000" w:themeColor="text1"/>
          <w:sz w:val="32"/>
          <w:lang w:eastAsia="zh-CN"/>
          <w14:textFill>
            <w14:solidFill>
              <w14:schemeClr w14:val="tx1"/>
            </w14:solidFill>
          </w14:textFill>
        </w:rPr>
        <w:t>等新型岗位完善产教融合育人和人才评价机制，将开源贡献纳入职称评聘、职务晋升和业绩考核；推动算力、数据和场景资源向企业开放，政府投资项目、省属企业项目率先试用省内智能软件产品；同步加强数据安全、开源合规和生成式人工智能安全治理；建立统计监测和年度评估机制，实行动态调整、能进能出，确保各项任务落地见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9F5A96-5992-40FA-9270-0736041AA2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E2785BCE-C996-416D-804A-08A936AA7BF8}"/>
  </w:font>
  <w:font w:name="方正小标宋简体">
    <w:panose1 w:val="02000000000000000000"/>
    <w:charset w:val="86"/>
    <w:family w:val="auto"/>
    <w:pitch w:val="default"/>
    <w:sig w:usb0="00000001" w:usb1="080E0000" w:usb2="00000000" w:usb3="00000000" w:csb0="00040000" w:csb1="00000000"/>
    <w:embedRegular r:id="rId3" w:fontKey="{2A93DFC3-CFF7-4C19-BB50-14C0D9D53195}"/>
  </w:font>
  <w:font w:name="楷体_GB2312">
    <w:panose1 w:val="02010609030101010101"/>
    <w:charset w:val="86"/>
    <w:family w:val="auto"/>
    <w:pitch w:val="default"/>
    <w:sig w:usb0="00000001" w:usb1="080E0000" w:usb2="00000000" w:usb3="00000000" w:csb0="00040000" w:csb1="00000000"/>
    <w:embedRegular r:id="rId4" w:fontKey="{942A91AA-E8BA-413F-8B89-E3215FAD9E9B}"/>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盖盖">
    <w15:presenceInfo w15:providerId="WPS Office" w15:userId="10125380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7C0A"/>
    <w:rsid w:val="004B6AD5"/>
    <w:rsid w:val="00AB41C2"/>
    <w:rsid w:val="00F50DA7"/>
    <w:rsid w:val="018B1C01"/>
    <w:rsid w:val="01AD5116"/>
    <w:rsid w:val="01F9035B"/>
    <w:rsid w:val="02E26B72"/>
    <w:rsid w:val="02F4543D"/>
    <w:rsid w:val="03655CA8"/>
    <w:rsid w:val="038C200E"/>
    <w:rsid w:val="03CC48BF"/>
    <w:rsid w:val="04080A1E"/>
    <w:rsid w:val="045D7AF2"/>
    <w:rsid w:val="05700EB3"/>
    <w:rsid w:val="05926AFC"/>
    <w:rsid w:val="05B37F18"/>
    <w:rsid w:val="05D4029A"/>
    <w:rsid w:val="065A7238"/>
    <w:rsid w:val="072E6094"/>
    <w:rsid w:val="074B1659"/>
    <w:rsid w:val="074D0991"/>
    <w:rsid w:val="07665DA2"/>
    <w:rsid w:val="07AD6D60"/>
    <w:rsid w:val="07D63618"/>
    <w:rsid w:val="08324ED9"/>
    <w:rsid w:val="08C276F9"/>
    <w:rsid w:val="08C85097"/>
    <w:rsid w:val="08D73000"/>
    <w:rsid w:val="08FF1C62"/>
    <w:rsid w:val="092B6AF0"/>
    <w:rsid w:val="092E1232"/>
    <w:rsid w:val="09EB2C7F"/>
    <w:rsid w:val="0A39491D"/>
    <w:rsid w:val="0A4C6688"/>
    <w:rsid w:val="0ADD2F10"/>
    <w:rsid w:val="0B3B00BD"/>
    <w:rsid w:val="0B3C560B"/>
    <w:rsid w:val="0B5B2331"/>
    <w:rsid w:val="0B5D7BA5"/>
    <w:rsid w:val="0B621AB9"/>
    <w:rsid w:val="0B9B5DD8"/>
    <w:rsid w:val="0BDF6A62"/>
    <w:rsid w:val="0C055AB6"/>
    <w:rsid w:val="0C476B42"/>
    <w:rsid w:val="0C833643"/>
    <w:rsid w:val="0CEC743A"/>
    <w:rsid w:val="0D9C0EFA"/>
    <w:rsid w:val="0DA079BA"/>
    <w:rsid w:val="0DB953DB"/>
    <w:rsid w:val="0EB3582B"/>
    <w:rsid w:val="0F182768"/>
    <w:rsid w:val="0F5E06D2"/>
    <w:rsid w:val="0FCB6720"/>
    <w:rsid w:val="10B4356B"/>
    <w:rsid w:val="10F76FC1"/>
    <w:rsid w:val="1109680C"/>
    <w:rsid w:val="113B16DB"/>
    <w:rsid w:val="11531836"/>
    <w:rsid w:val="11647275"/>
    <w:rsid w:val="11BC387F"/>
    <w:rsid w:val="11EC3A38"/>
    <w:rsid w:val="11F769BD"/>
    <w:rsid w:val="121E1ADF"/>
    <w:rsid w:val="12370BF9"/>
    <w:rsid w:val="126E0F90"/>
    <w:rsid w:val="133D79DF"/>
    <w:rsid w:val="14263231"/>
    <w:rsid w:val="14330BA2"/>
    <w:rsid w:val="14545057"/>
    <w:rsid w:val="145E52CB"/>
    <w:rsid w:val="150D43F1"/>
    <w:rsid w:val="15112E59"/>
    <w:rsid w:val="15C50828"/>
    <w:rsid w:val="15E50ECA"/>
    <w:rsid w:val="16931D8B"/>
    <w:rsid w:val="16DC464A"/>
    <w:rsid w:val="173C7B94"/>
    <w:rsid w:val="176E4A1F"/>
    <w:rsid w:val="17DE3128"/>
    <w:rsid w:val="18304C3F"/>
    <w:rsid w:val="18351148"/>
    <w:rsid w:val="18B136B4"/>
    <w:rsid w:val="19460808"/>
    <w:rsid w:val="194F7917"/>
    <w:rsid w:val="1A0D2A3C"/>
    <w:rsid w:val="1B3B1CB8"/>
    <w:rsid w:val="1B71201D"/>
    <w:rsid w:val="1BEF192A"/>
    <w:rsid w:val="1C2071AA"/>
    <w:rsid w:val="1C7A69EA"/>
    <w:rsid w:val="1CBB1199"/>
    <w:rsid w:val="1D5675C9"/>
    <w:rsid w:val="1D8423B0"/>
    <w:rsid w:val="1DC97EE6"/>
    <w:rsid w:val="1E68618F"/>
    <w:rsid w:val="1EAC3568"/>
    <w:rsid w:val="1EAF02C7"/>
    <w:rsid w:val="1EC75611"/>
    <w:rsid w:val="1F2A132B"/>
    <w:rsid w:val="1FCC74B0"/>
    <w:rsid w:val="200E7FC9"/>
    <w:rsid w:val="201B426F"/>
    <w:rsid w:val="20515666"/>
    <w:rsid w:val="21037B2A"/>
    <w:rsid w:val="210E2B59"/>
    <w:rsid w:val="2190359D"/>
    <w:rsid w:val="21B165EA"/>
    <w:rsid w:val="21F04E7F"/>
    <w:rsid w:val="22B32EE2"/>
    <w:rsid w:val="22BA5BB9"/>
    <w:rsid w:val="23005679"/>
    <w:rsid w:val="23073B84"/>
    <w:rsid w:val="23486A6F"/>
    <w:rsid w:val="24210C0C"/>
    <w:rsid w:val="24407927"/>
    <w:rsid w:val="24C82D59"/>
    <w:rsid w:val="251040BB"/>
    <w:rsid w:val="25240A62"/>
    <w:rsid w:val="253259D8"/>
    <w:rsid w:val="25397790"/>
    <w:rsid w:val="258E6E89"/>
    <w:rsid w:val="259B5C26"/>
    <w:rsid w:val="26A53000"/>
    <w:rsid w:val="26D72D33"/>
    <w:rsid w:val="27016CF5"/>
    <w:rsid w:val="276A122F"/>
    <w:rsid w:val="27E0730D"/>
    <w:rsid w:val="27F20C7C"/>
    <w:rsid w:val="27F30D52"/>
    <w:rsid w:val="281C7223"/>
    <w:rsid w:val="28AB7671"/>
    <w:rsid w:val="29424212"/>
    <w:rsid w:val="29443CD1"/>
    <w:rsid w:val="296E03FD"/>
    <w:rsid w:val="2A1B4A63"/>
    <w:rsid w:val="2A2B739C"/>
    <w:rsid w:val="2A81355A"/>
    <w:rsid w:val="2A9263B8"/>
    <w:rsid w:val="2AC45290"/>
    <w:rsid w:val="2B873045"/>
    <w:rsid w:val="2BD04A64"/>
    <w:rsid w:val="2C2B58D4"/>
    <w:rsid w:val="2C3562B0"/>
    <w:rsid w:val="2C501F72"/>
    <w:rsid w:val="2C9E20A7"/>
    <w:rsid w:val="2CE71B6C"/>
    <w:rsid w:val="2DDF416D"/>
    <w:rsid w:val="2E070F00"/>
    <w:rsid w:val="2E176E8B"/>
    <w:rsid w:val="2E681C88"/>
    <w:rsid w:val="2E9848D4"/>
    <w:rsid w:val="2E9B5BAC"/>
    <w:rsid w:val="2EB82E9A"/>
    <w:rsid w:val="2F054629"/>
    <w:rsid w:val="2FA5374C"/>
    <w:rsid w:val="3061507B"/>
    <w:rsid w:val="3063278B"/>
    <w:rsid w:val="30AA5FE7"/>
    <w:rsid w:val="30BB71A0"/>
    <w:rsid w:val="30FC55EE"/>
    <w:rsid w:val="317B73C1"/>
    <w:rsid w:val="31E00A6C"/>
    <w:rsid w:val="32566F80"/>
    <w:rsid w:val="327E0743"/>
    <w:rsid w:val="32AD722B"/>
    <w:rsid w:val="33A23A2E"/>
    <w:rsid w:val="33C54D42"/>
    <w:rsid w:val="33EE217C"/>
    <w:rsid w:val="34505300"/>
    <w:rsid w:val="35022435"/>
    <w:rsid w:val="355E55DD"/>
    <w:rsid w:val="35960ECB"/>
    <w:rsid w:val="361F6C63"/>
    <w:rsid w:val="37B33935"/>
    <w:rsid w:val="37C26F66"/>
    <w:rsid w:val="37DF0F5D"/>
    <w:rsid w:val="384B7C91"/>
    <w:rsid w:val="390F6C68"/>
    <w:rsid w:val="392338B2"/>
    <w:rsid w:val="3963595D"/>
    <w:rsid w:val="39B724E0"/>
    <w:rsid w:val="3A0D6D0E"/>
    <w:rsid w:val="3AA96828"/>
    <w:rsid w:val="3B4756B8"/>
    <w:rsid w:val="3B67166F"/>
    <w:rsid w:val="3BD5458B"/>
    <w:rsid w:val="3BEC1564"/>
    <w:rsid w:val="3C1F0D6D"/>
    <w:rsid w:val="3C317CE0"/>
    <w:rsid w:val="3CE84C78"/>
    <w:rsid w:val="3D5E4F3B"/>
    <w:rsid w:val="3D950C6A"/>
    <w:rsid w:val="3EEC70AE"/>
    <w:rsid w:val="3EF44425"/>
    <w:rsid w:val="3F01550D"/>
    <w:rsid w:val="3F4622AC"/>
    <w:rsid w:val="3F9C0C67"/>
    <w:rsid w:val="3FAB1E71"/>
    <w:rsid w:val="3FFE5635"/>
    <w:rsid w:val="40A079FF"/>
    <w:rsid w:val="40BA66CD"/>
    <w:rsid w:val="40CA3013"/>
    <w:rsid w:val="41374D7D"/>
    <w:rsid w:val="41862190"/>
    <w:rsid w:val="41AB4767"/>
    <w:rsid w:val="41B004C2"/>
    <w:rsid w:val="41C470D5"/>
    <w:rsid w:val="41DA053D"/>
    <w:rsid w:val="41DA6952"/>
    <w:rsid w:val="426254CD"/>
    <w:rsid w:val="42690B45"/>
    <w:rsid w:val="428F75D3"/>
    <w:rsid w:val="42A211AB"/>
    <w:rsid w:val="42B71375"/>
    <w:rsid w:val="42C10446"/>
    <w:rsid w:val="42C8103A"/>
    <w:rsid w:val="4322216B"/>
    <w:rsid w:val="43545DE6"/>
    <w:rsid w:val="43937B6D"/>
    <w:rsid w:val="43B92D60"/>
    <w:rsid w:val="44307455"/>
    <w:rsid w:val="443C52C1"/>
    <w:rsid w:val="448D1C21"/>
    <w:rsid w:val="450308A1"/>
    <w:rsid w:val="4524163D"/>
    <w:rsid w:val="45482758"/>
    <w:rsid w:val="45486BFC"/>
    <w:rsid w:val="457052B2"/>
    <w:rsid w:val="45C40201"/>
    <w:rsid w:val="462D713C"/>
    <w:rsid w:val="469D40FD"/>
    <w:rsid w:val="46BD7176"/>
    <w:rsid w:val="4712301E"/>
    <w:rsid w:val="474B2E49"/>
    <w:rsid w:val="476A1A4C"/>
    <w:rsid w:val="47F92430"/>
    <w:rsid w:val="48580F04"/>
    <w:rsid w:val="48B40105"/>
    <w:rsid w:val="49242612"/>
    <w:rsid w:val="49576579"/>
    <w:rsid w:val="49B54BA8"/>
    <w:rsid w:val="49F53A3B"/>
    <w:rsid w:val="4A5A2857"/>
    <w:rsid w:val="4AAC2F62"/>
    <w:rsid w:val="4AC07235"/>
    <w:rsid w:val="4B4D10F5"/>
    <w:rsid w:val="4BA6642B"/>
    <w:rsid w:val="4BBE19C6"/>
    <w:rsid w:val="4C765DFD"/>
    <w:rsid w:val="4D9E1AAF"/>
    <w:rsid w:val="4DFD4457"/>
    <w:rsid w:val="4E102281"/>
    <w:rsid w:val="4E917812"/>
    <w:rsid w:val="4EC81323"/>
    <w:rsid w:val="4F343BAC"/>
    <w:rsid w:val="4F534001"/>
    <w:rsid w:val="4F9B2C70"/>
    <w:rsid w:val="4FA537A4"/>
    <w:rsid w:val="4FB2158F"/>
    <w:rsid w:val="4FE077C6"/>
    <w:rsid w:val="4FFD541D"/>
    <w:rsid w:val="502A762A"/>
    <w:rsid w:val="502C0E35"/>
    <w:rsid w:val="5058738D"/>
    <w:rsid w:val="50771731"/>
    <w:rsid w:val="51616BFA"/>
    <w:rsid w:val="51CA6F3A"/>
    <w:rsid w:val="52416669"/>
    <w:rsid w:val="52752EC9"/>
    <w:rsid w:val="52CF5DBA"/>
    <w:rsid w:val="539D45B7"/>
    <w:rsid w:val="53BF452D"/>
    <w:rsid w:val="5476422F"/>
    <w:rsid w:val="54DD40B3"/>
    <w:rsid w:val="55295FC7"/>
    <w:rsid w:val="557B47BF"/>
    <w:rsid w:val="55E25415"/>
    <w:rsid w:val="568850AA"/>
    <w:rsid w:val="56894AC6"/>
    <w:rsid w:val="56D639C9"/>
    <w:rsid w:val="56FA762A"/>
    <w:rsid w:val="571050A0"/>
    <w:rsid w:val="573A0427"/>
    <w:rsid w:val="57491B08"/>
    <w:rsid w:val="578E148F"/>
    <w:rsid w:val="57947C21"/>
    <w:rsid w:val="57A9594A"/>
    <w:rsid w:val="57D7125C"/>
    <w:rsid w:val="580707DB"/>
    <w:rsid w:val="581C72A5"/>
    <w:rsid w:val="585711D8"/>
    <w:rsid w:val="5889117A"/>
    <w:rsid w:val="59D95C1D"/>
    <w:rsid w:val="59E36E4F"/>
    <w:rsid w:val="59FC7866"/>
    <w:rsid w:val="5A5B51B2"/>
    <w:rsid w:val="5A600310"/>
    <w:rsid w:val="5ABE73D9"/>
    <w:rsid w:val="5B12684E"/>
    <w:rsid w:val="5B36008A"/>
    <w:rsid w:val="5B53412E"/>
    <w:rsid w:val="5B687E77"/>
    <w:rsid w:val="5BAA645B"/>
    <w:rsid w:val="5BB14AA5"/>
    <w:rsid w:val="5C890CFB"/>
    <w:rsid w:val="5CAC4985"/>
    <w:rsid w:val="5CB90493"/>
    <w:rsid w:val="5CFF3BED"/>
    <w:rsid w:val="5D363DF5"/>
    <w:rsid w:val="5D590791"/>
    <w:rsid w:val="5D7C348F"/>
    <w:rsid w:val="5D83481E"/>
    <w:rsid w:val="5E88357B"/>
    <w:rsid w:val="5F212B3A"/>
    <w:rsid w:val="5F692F9B"/>
    <w:rsid w:val="5FFC4413"/>
    <w:rsid w:val="60975E85"/>
    <w:rsid w:val="60FE54EA"/>
    <w:rsid w:val="61006B28"/>
    <w:rsid w:val="61746671"/>
    <w:rsid w:val="6177547A"/>
    <w:rsid w:val="619F7059"/>
    <w:rsid w:val="62960A2B"/>
    <w:rsid w:val="62B60CD4"/>
    <w:rsid w:val="62E23D94"/>
    <w:rsid w:val="62EB4D0C"/>
    <w:rsid w:val="631E435E"/>
    <w:rsid w:val="638E799C"/>
    <w:rsid w:val="63C82F8A"/>
    <w:rsid w:val="63F35E7C"/>
    <w:rsid w:val="641B3677"/>
    <w:rsid w:val="64986407"/>
    <w:rsid w:val="64B952F9"/>
    <w:rsid w:val="651C0F39"/>
    <w:rsid w:val="66043DD9"/>
    <w:rsid w:val="667B16CC"/>
    <w:rsid w:val="6682467D"/>
    <w:rsid w:val="668D0C53"/>
    <w:rsid w:val="66A7157D"/>
    <w:rsid w:val="6739419F"/>
    <w:rsid w:val="67A36984"/>
    <w:rsid w:val="67A96C2F"/>
    <w:rsid w:val="67AC4FC3"/>
    <w:rsid w:val="6810701C"/>
    <w:rsid w:val="685017A0"/>
    <w:rsid w:val="686E7E94"/>
    <w:rsid w:val="688A696B"/>
    <w:rsid w:val="68C00829"/>
    <w:rsid w:val="69207E48"/>
    <w:rsid w:val="698A5C37"/>
    <w:rsid w:val="69B95D97"/>
    <w:rsid w:val="69F543AD"/>
    <w:rsid w:val="6A0253D3"/>
    <w:rsid w:val="6A154A4F"/>
    <w:rsid w:val="6AA33A1A"/>
    <w:rsid w:val="6AAE27AE"/>
    <w:rsid w:val="6B3F6EC7"/>
    <w:rsid w:val="6B70775E"/>
    <w:rsid w:val="6BA92D61"/>
    <w:rsid w:val="6C7E20E4"/>
    <w:rsid w:val="6CDE7B85"/>
    <w:rsid w:val="6CE60DAB"/>
    <w:rsid w:val="6CED5810"/>
    <w:rsid w:val="6D3F1FD7"/>
    <w:rsid w:val="6D65184A"/>
    <w:rsid w:val="6D6D737F"/>
    <w:rsid w:val="6D770BA0"/>
    <w:rsid w:val="6E146C91"/>
    <w:rsid w:val="6E4A51F2"/>
    <w:rsid w:val="6E4C298C"/>
    <w:rsid w:val="6E9679FF"/>
    <w:rsid w:val="6EB6680B"/>
    <w:rsid w:val="6FDB4045"/>
    <w:rsid w:val="700C41FF"/>
    <w:rsid w:val="703A3BAB"/>
    <w:rsid w:val="70711EF0"/>
    <w:rsid w:val="7086127D"/>
    <w:rsid w:val="70BF74C3"/>
    <w:rsid w:val="711C66C3"/>
    <w:rsid w:val="71311C3A"/>
    <w:rsid w:val="714777CD"/>
    <w:rsid w:val="714D2D21"/>
    <w:rsid w:val="718A4B54"/>
    <w:rsid w:val="719E27C9"/>
    <w:rsid w:val="71A16BC9"/>
    <w:rsid w:val="721A20EE"/>
    <w:rsid w:val="723D234C"/>
    <w:rsid w:val="726A16B0"/>
    <w:rsid w:val="72EF1D0B"/>
    <w:rsid w:val="72F71196"/>
    <w:rsid w:val="732B6ACD"/>
    <w:rsid w:val="73B057E9"/>
    <w:rsid w:val="73C6500C"/>
    <w:rsid w:val="74065015"/>
    <w:rsid w:val="741F6D29"/>
    <w:rsid w:val="746E0222"/>
    <w:rsid w:val="747F3106"/>
    <w:rsid w:val="748F53FE"/>
    <w:rsid w:val="75D7355A"/>
    <w:rsid w:val="75FF1370"/>
    <w:rsid w:val="760D0CD1"/>
    <w:rsid w:val="76277FE4"/>
    <w:rsid w:val="766A3E41"/>
    <w:rsid w:val="76E67A00"/>
    <w:rsid w:val="78007B88"/>
    <w:rsid w:val="780377D7"/>
    <w:rsid w:val="78183DE9"/>
    <w:rsid w:val="78A82768"/>
    <w:rsid w:val="78E75809"/>
    <w:rsid w:val="78EF7F5E"/>
    <w:rsid w:val="79437E06"/>
    <w:rsid w:val="79684A76"/>
    <w:rsid w:val="7A905C94"/>
    <w:rsid w:val="7AD225DE"/>
    <w:rsid w:val="7AEA338E"/>
    <w:rsid w:val="7B0E3426"/>
    <w:rsid w:val="7B3960C4"/>
    <w:rsid w:val="7B8639A2"/>
    <w:rsid w:val="7C3074C7"/>
    <w:rsid w:val="7C333F02"/>
    <w:rsid w:val="7C813612"/>
    <w:rsid w:val="7D31109D"/>
    <w:rsid w:val="7DA63557"/>
    <w:rsid w:val="7DD56578"/>
    <w:rsid w:val="7DF10ED8"/>
    <w:rsid w:val="7E421789"/>
    <w:rsid w:val="7ECC009B"/>
    <w:rsid w:val="7F2166F1"/>
    <w:rsid w:val="7F3B065C"/>
    <w:rsid w:val="7F4356E0"/>
    <w:rsid w:val="7FA050A5"/>
    <w:rsid w:val="7FC33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9ddea861-0fb5-4729-9f64-a3e5c08a15b9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4CCBFC9E</paraID>
      <start>23</start>
      <end>24</end>
      <status>modified</status>
      <modifiedWord>—</modifiedWord>
      <trackRevisions>true</trackRevisions>
    </reviewItem>
    <reviewItem>
      <errorID>cb546b97-05a8-48f5-9c90-a9f2fb39b372</errorID>
      <errorWord>使能</errorWord>
      <group>L1_Word</group>
      <groupName>字词问题</groupName>
      <ability>L2_Typo</ability>
      <abilityName>字词错误</abilityName>
      <candidateList>
        <item>智能</item>
      </candidateList>
      <explain/>
      <paraID>1A105C66</paraID>
      <start>118</start>
      <end>120</end>
      <status>ignored</status>
      <modifiedWord/>
      <trackRevisions>false</trackRevisions>
    </reviewItem>
  </reviewItems>
  <config/>
</contractReview>
</file>

<file path=customXml/itemProps1.xml><?xml version="1.0" encoding="utf-8"?>
<ds:datastoreItem xmlns:ds="http://schemas.openxmlformats.org/officeDocument/2006/customXml" ds:itemID="{d8896ce3-a42c-49dc-aa23-8bbef1a7d423}">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5411</Words>
  <Characters>5489</Characters>
  <Lines>0</Lines>
  <Paragraphs>0</Paragraphs>
  <TotalTime>5</TotalTime>
  <ScaleCrop>false</ScaleCrop>
  <LinksUpToDate>false</LinksUpToDate>
  <CharactersWithSpaces>5494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2026-07-31T08:20:00Z</dcterms:created>
  <dc:creator>hongy</dc:creator>
  <cp:lastModifiedBy>盖盖</cp:lastModifiedBy>
  <cp:lastPrinted>2026-08-10T02:32:00Z</cp:lastPrinted>
  <dcterms:modified xsi:type="dcterms:W3CDTF">2026-10-29T00:52:50Z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eyJoZGlkIjoiODdlYTQwZmI0OTA0MmM4OTBlZTU0NzU4YjM1ZDZlNjMiLCJ1c2VySWQiOiI5ODU3MTg3NzMifQ==</vt:lpwstr>
  </property>
  <property fmtid="{D5CDD505-2E9C-101B-9397-08002B2CF9AE}" pid="4" name="ICV">
    <vt:lpwstr>253487177FEE4FC3B9E8B270AA20FE15_13</vt:lpwstr>
  </property>
</Properties>
</file>