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jc w:val="left"/>
        <w:rPr>
          <w:rFonts w:hint="eastAsia" w:ascii="黑体" w:hAnsi="黑体" w:eastAsia="黑体"/>
          <w:sz w:val="40"/>
          <w:szCs w:val="3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工业互联网园区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指南</w:t>
      </w:r>
    </w:p>
    <w:p>
      <w:pPr>
        <w:spacing w:line="360" w:lineRule="auto"/>
        <w:jc w:val="center"/>
        <w:rPr>
          <w:rFonts w:hint="eastAsia" w:ascii="楷体_GB2312" w:hAnsi="楷体_GB2312" w:eastAsia="楷体_GB2312"/>
          <w:b/>
          <w:bCs/>
          <w:sz w:val="18"/>
          <w:szCs w:val="30"/>
        </w:rPr>
      </w:pPr>
    </w:p>
    <w:p>
      <w:pPr>
        <w:spacing w:line="480" w:lineRule="auto"/>
        <w:jc w:val="center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 xml:space="preserve">第一章  总  则 </w:t>
      </w:r>
    </w:p>
    <w:p>
      <w:pPr>
        <w:spacing w:line="360" w:lineRule="auto"/>
        <w:ind w:firstLine="720" w:firstLineChars="225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第一条</w:t>
      </w:r>
      <w:r>
        <w:rPr>
          <w:rFonts w:hint="eastAsia" w:ascii="仿宋_GB2312" w:eastAsia="仿宋_GB2312"/>
          <w:sz w:val="32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为贯彻落实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山东省人民政府办公厅关于加快工业互联网发展若干措施的通知》（鲁政办字〔2020〕125号）文件精神，加快推进工业互联网建设与园区经济相结合，推动园区企业规模化开展数字化转型升级，提升区域制造资源共享和协同水平，培育一批工业互联网应用样板园区，特制定本办法。</w:t>
      </w:r>
    </w:p>
    <w:p>
      <w:pPr>
        <w:spacing w:line="360" w:lineRule="auto"/>
        <w:ind w:firstLine="720" w:firstLineChars="225"/>
        <w:rPr>
          <w:rFonts w:ascii="仿宋_GB2312" w:eastAsia="仿宋_GB2312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第二条</w:t>
      </w:r>
      <w:r>
        <w:rPr>
          <w:rFonts w:hint="eastAsia" w:ascii="仿宋_GB2312" w:eastAsia="仿宋_GB2312"/>
          <w:sz w:val="32"/>
          <w:szCs w:val="30"/>
        </w:rPr>
        <w:t xml:space="preserve">  </w:t>
      </w:r>
      <w:r>
        <w:rPr>
          <w:rFonts w:hint="eastAsia" w:ascii="仿宋_GB2312" w:eastAsia="仿宋_GB2312"/>
          <w:sz w:val="32"/>
          <w:szCs w:val="30"/>
          <w:lang w:eastAsia="zh-CN"/>
        </w:rPr>
        <w:t>按照“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统筹规划、突出特色，政府引导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园区主导，遵循规律、创新驱动”原则，着重在工业互联网建设基础、应用支撑、协同创新、综合成效等方面形成示范作用，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打造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国内领先水平的工业互联网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建设应用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集聚区。</w:t>
      </w:r>
    </w:p>
    <w:p>
      <w:pPr>
        <w:spacing w:line="360" w:lineRule="auto"/>
        <w:ind w:firstLine="720" w:firstLineChars="22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0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业互联网园区是由多个具有独立法人的企业构成，企业之间以工业互联网为基础、相互联系且存在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"http://qikan.cqvip.com/Qikan/Article/Detail?id=27736915" \t "_blank"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竞合关系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、管理主体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市级及以上人民政府认定的专门运营管理单位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明确，园区内产业集中、基础设施和管理体系完善、具有相对完整的上下游产业链、以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工业互联网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引领带动实体经济振兴的工业区域。由各设区市工信部门负责组织创建、申报与建设管理工作。</w:t>
      </w:r>
    </w:p>
    <w:p>
      <w:pPr>
        <w:keepNext/>
        <w:spacing w:line="360" w:lineRule="auto"/>
        <w:jc w:val="center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第二章  创建条件</w:t>
      </w:r>
    </w:p>
    <w:p>
      <w:pPr>
        <w:ind w:firstLine="640" w:firstLineChars="200"/>
        <w:rPr>
          <w:rFonts w:ascii="方正仿宋_GBK" w:hAnsi="方正仿宋_GBK" w:eastAsia="方正仿宋_GBK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0"/>
        </w:rPr>
        <w:t>第五条</w:t>
      </w:r>
      <w:r>
        <w:rPr>
          <w:rFonts w:hint="eastAsia" w:ascii="仿宋_GB2312" w:eastAsia="仿宋_GB2312"/>
          <w:sz w:val="32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工业互联网园区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的创建条件主要包括以下方面：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（一）主导产业基础。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主要衡量申报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的主导产业规模、市场品牌、产业特色、龙头企业实力、示范资质等方面情况。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（二）平台建设应用。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主要衡量申报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的工业互联网平台、标杆工厂示范、国家试点项目等方面情况。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）信息基础设施。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主要衡量申报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的网络覆盖、网络服务、标识解析、新一代信息基础设施等方面情况。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）良性区域生态。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主要衡量申报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的科技创新、公共服务、产融结合等方面情况。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）政府保障措施。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主要衡量申报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的政策环境、组织机制、资金支持等方面情况。</w:t>
      </w:r>
    </w:p>
    <w:p>
      <w:pPr>
        <w:spacing w:line="360" w:lineRule="auto"/>
        <w:jc w:val="center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第三章  工作程序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第六条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工业互联网园区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申报材料由所在地设区市（区）工信部门推荐至省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工业和信息化厅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第七条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省工业互联网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申报材料包括：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申报单位所在地设区市（区）工信部门推荐意见；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.山东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工业互联网园区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申报表；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工业互联网建设规划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专家论证意见（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.工业互联网园区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空间布局图；</w:t>
      </w:r>
    </w:p>
    <w:p>
      <w:pPr>
        <w:ind w:firstLine="640" w:firstLineChars="200"/>
        <w:rPr>
          <w:rFonts w:ascii="方正仿宋_GBK" w:hAnsi="方正仿宋_GBK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申报单位所在地政府落实相关扶持政策证明文件。</w:t>
      </w:r>
    </w:p>
    <w:p>
      <w:pPr>
        <w:spacing w:line="360" w:lineRule="auto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 xml:space="preserve">    </w:t>
      </w:r>
      <w:r>
        <w:rPr>
          <w:rFonts w:hint="eastAsia" w:ascii="黑体" w:hAnsi="黑体" w:eastAsia="黑体" w:cs="黑体"/>
          <w:sz w:val="32"/>
          <w:szCs w:val="30"/>
        </w:rPr>
        <w:t xml:space="preserve">第八条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工业和信息化厅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组织专家对申报材料进行评估评审和实地考察，遴选认定符合要求的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360" w:lineRule="auto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 xml:space="preserve">    </w:t>
      </w:r>
      <w:r>
        <w:rPr>
          <w:rFonts w:hint="eastAsia" w:ascii="黑体" w:hAnsi="黑体" w:eastAsia="黑体" w:cs="黑体"/>
          <w:sz w:val="32"/>
          <w:szCs w:val="30"/>
        </w:rPr>
        <w:t xml:space="preserve">第九条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工业和信息化厅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根据本省相关政策对认定的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工业互联网园区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进行表彰和政策支持。</w:t>
      </w:r>
      <w:r>
        <w:rPr>
          <w:rFonts w:hint="eastAsia" w:ascii="方正仿宋_GBK" w:hAnsi="方正仿宋_GBK"/>
          <w:sz w:val="32"/>
        </w:rPr>
        <w:t xml:space="preserve"> </w:t>
      </w:r>
      <w:r>
        <w:rPr>
          <w:rFonts w:hint="eastAsia" w:ascii="仿宋_GB2312" w:eastAsia="仿宋_GB2312"/>
          <w:sz w:val="32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jc w:val="center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第四章  管理方式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第十</w:t>
      </w:r>
      <w:r>
        <w:rPr>
          <w:rFonts w:ascii="黑体" w:hAnsi="黑体" w:eastAsia="黑体" w:cs="黑体"/>
          <w:sz w:val="32"/>
          <w:szCs w:val="30"/>
        </w:rPr>
        <w:t>条</w:t>
      </w:r>
      <w:r>
        <w:rPr>
          <w:rFonts w:hint="eastAsia" w:ascii="黑体" w:hAnsi="黑体" w:eastAsia="黑体" w:cs="黑体"/>
          <w:sz w:val="32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各设区市及园区要形成日常管理机制，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对照创建条件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补齐短板、提高质量、引领创新，积极开展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内工业互联网相关领域的建设工作。</w:t>
      </w:r>
      <w:r>
        <w:rPr>
          <w:rFonts w:hint="eastAsia" w:ascii="黑体" w:hAnsi="黑体" w:eastAsia="黑体" w:cs="黑体"/>
          <w:sz w:val="32"/>
          <w:szCs w:val="30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0"/>
        </w:rPr>
        <w:t>第十一条</w:t>
      </w:r>
      <w:r>
        <w:rPr>
          <w:rFonts w:hint="eastAsia" w:ascii="仿宋_GB2312" w:eastAsia="仿宋_GB2312"/>
          <w:sz w:val="32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省工业和信息化厅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工业互联网园区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进行发展情况监测分析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动态管理和质量评价，实行退出机制。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第十二条</w:t>
      </w:r>
      <w:r>
        <w:rPr>
          <w:rFonts w:hint="eastAsia" w:ascii="方正仿宋_GBK" w:hAnsi="方正仿宋_GBK" w:eastAsia="方正仿宋_GBK" w:cs="仿宋_GB2312"/>
          <w:color w:val="000000"/>
          <w:sz w:val="32"/>
          <w:szCs w:val="32"/>
        </w:rPr>
        <w:t xml:space="preserve"> </w:t>
      </w:r>
      <w:r>
        <w:rPr>
          <w:rFonts w:ascii="方正仿宋_GBK" w:hAnsi="方正仿宋_GBK" w:eastAsia="方正仿宋_GBK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通过认定的园区建设期为3年，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奖补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资金总额的50%，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省工业和信息化厅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中期评估，第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3年进行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园区终期验收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通过验收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拨付50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的奖补资金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验收的园区，限期半年进行整改，整改后仍不达标的，直接公告退出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全额上交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拨付资金。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sz w:val="32"/>
          <w:szCs w:val="30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省工业互联网园区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如发生重大或特别重大生产安全事故，或者发生Ⅱ级或Ⅰ级突发环境污染事件，直接公告退出，不再对其进行发展质量评价。</w:t>
      </w:r>
    </w:p>
    <w:p>
      <w:pPr>
        <w:spacing w:line="360" w:lineRule="auto"/>
        <w:jc w:val="center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第五章  附  则</w:t>
      </w:r>
    </w:p>
    <w:p>
      <w:pPr>
        <w:ind w:firstLine="640" w:firstLineChars="200"/>
        <w:rPr>
          <w:rFonts w:hint="eastAsia" w:ascii="方正仿宋_GBK" w:hAnsi="方正仿宋_GBK" w:eastAsia="方正仿宋_GBK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0"/>
        </w:rPr>
        <w:t>第十四条</w:t>
      </w:r>
      <w:r>
        <w:rPr>
          <w:rFonts w:hint="eastAsia" w:ascii="仿宋_GB2312" w:eastAsia="仿宋_GB2312"/>
          <w:sz w:val="32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本办法自202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日起实施。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本</w:t>
      </w:r>
      <w:r>
        <w:rPr>
          <w:rFonts w:ascii="仿宋_GB2312" w:eastAsia="仿宋_GB2312"/>
          <w:sz w:val="32"/>
          <w:szCs w:val="30"/>
        </w:rPr>
        <w:t>细则</w:t>
      </w:r>
      <w:r>
        <w:rPr>
          <w:rFonts w:hint="eastAsia" w:ascii="仿宋_GB2312" w:eastAsia="仿宋_GB2312"/>
          <w:sz w:val="32"/>
          <w:szCs w:val="30"/>
        </w:rPr>
        <w:t>由</w:t>
      </w:r>
      <w:r>
        <w:rPr>
          <w:rFonts w:ascii="仿宋_GB2312" w:eastAsia="仿宋_GB2312"/>
          <w:sz w:val="32"/>
          <w:szCs w:val="30"/>
        </w:rPr>
        <w:t>省</w:t>
      </w:r>
      <w:r>
        <w:rPr>
          <w:rFonts w:hint="eastAsia" w:ascii="仿宋_GB2312" w:eastAsia="仿宋_GB2312"/>
          <w:sz w:val="32"/>
          <w:szCs w:val="30"/>
          <w:lang w:eastAsia="zh-CN"/>
        </w:rPr>
        <w:t>工业和信息化</w:t>
      </w:r>
      <w:r>
        <w:rPr>
          <w:rFonts w:ascii="仿宋_GB2312" w:eastAsia="仿宋_GB2312"/>
          <w:sz w:val="32"/>
          <w:szCs w:val="30"/>
        </w:rPr>
        <w:t>厅</w:t>
      </w:r>
      <w:r>
        <w:rPr>
          <w:rFonts w:hint="eastAsia" w:ascii="仿宋_GB2312" w:eastAsia="仿宋_GB2312"/>
          <w:sz w:val="32"/>
          <w:szCs w:val="30"/>
          <w:lang w:eastAsia="zh-CN"/>
        </w:rPr>
        <w:t>工业互联网</w:t>
      </w:r>
      <w:r>
        <w:rPr>
          <w:rFonts w:ascii="仿宋_GB2312" w:eastAsia="仿宋_GB2312"/>
          <w:sz w:val="32"/>
          <w:szCs w:val="30"/>
        </w:rPr>
        <w:t>处</w:t>
      </w:r>
      <w:r>
        <w:rPr>
          <w:rFonts w:hint="eastAsia" w:ascii="仿宋_GB2312" w:eastAsia="仿宋_GB2312"/>
          <w:sz w:val="32"/>
          <w:szCs w:val="30"/>
        </w:rPr>
        <w:t>负责</w:t>
      </w:r>
      <w:r>
        <w:rPr>
          <w:rFonts w:ascii="仿宋_GB2312" w:eastAsia="仿宋_GB2312"/>
          <w:sz w:val="32"/>
          <w:szCs w:val="30"/>
        </w:rPr>
        <w:t>解释。</w:t>
      </w:r>
    </w:p>
    <w:p>
      <w:pPr>
        <w:spacing w:line="360" w:lineRule="auto"/>
        <w:rPr>
          <w:rFonts w:ascii="仿宋_GB2312" w:eastAsia="仿宋_GB2312"/>
          <w:sz w:val="32"/>
          <w:szCs w:val="30"/>
        </w:rPr>
      </w:pPr>
    </w:p>
    <w:p>
      <w:pPr>
        <w:spacing w:line="360" w:lineRule="auto"/>
        <w:rPr>
          <w:rFonts w:ascii="仿宋_GB2312" w:eastAsia="仿宋_GB2312"/>
          <w:sz w:val="32"/>
          <w:szCs w:val="30"/>
        </w:rPr>
      </w:pPr>
    </w:p>
    <w:p>
      <w:pPr>
        <w:spacing w:line="360" w:lineRule="auto"/>
        <w:rPr>
          <w:rFonts w:ascii="仿宋_GB2312" w:eastAsia="仿宋_GB2312"/>
          <w:sz w:val="32"/>
          <w:szCs w:val="30"/>
        </w:rPr>
      </w:pPr>
    </w:p>
    <w:p>
      <w:pPr>
        <w:spacing w:line="360" w:lineRule="auto"/>
        <w:rPr>
          <w:rFonts w:ascii="仿宋_GB2312" w:eastAsia="仿宋_GB2312"/>
          <w:sz w:val="32"/>
          <w:szCs w:val="30"/>
        </w:rPr>
      </w:pPr>
    </w:p>
    <w:p>
      <w:pPr>
        <w:spacing w:line="360" w:lineRule="auto"/>
        <w:rPr>
          <w:rFonts w:ascii="仿宋_GB2312" w:eastAsia="仿宋_GB2312"/>
          <w:sz w:val="32"/>
          <w:szCs w:val="30"/>
        </w:rPr>
      </w:pPr>
    </w:p>
    <w:p>
      <w:pPr>
        <w:spacing w:line="360" w:lineRule="auto"/>
        <w:rPr>
          <w:rFonts w:ascii="仿宋_GB2312" w:eastAsia="仿宋_GB2312"/>
          <w:sz w:val="32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Align="top"/>
      <w:pBdr>
        <w:between w:val="none" w:color="auto" w:sz="0" w:space="0"/>
      </w:pBdr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E07E0"/>
    <w:rsid w:val="03F14138"/>
    <w:rsid w:val="0A8E07E0"/>
    <w:rsid w:val="0AD978DC"/>
    <w:rsid w:val="0C570B4A"/>
    <w:rsid w:val="10F26BC4"/>
    <w:rsid w:val="14B641E8"/>
    <w:rsid w:val="158B211A"/>
    <w:rsid w:val="1CE40F84"/>
    <w:rsid w:val="28A75163"/>
    <w:rsid w:val="39832FB5"/>
    <w:rsid w:val="3C5042F5"/>
    <w:rsid w:val="3EFA1145"/>
    <w:rsid w:val="417B719A"/>
    <w:rsid w:val="47D7743F"/>
    <w:rsid w:val="483B1F66"/>
    <w:rsid w:val="4D87054F"/>
    <w:rsid w:val="50E867BC"/>
    <w:rsid w:val="51CF4E04"/>
    <w:rsid w:val="51EC4C9C"/>
    <w:rsid w:val="5D356A6D"/>
    <w:rsid w:val="5D6B0DE6"/>
    <w:rsid w:val="5F516161"/>
    <w:rsid w:val="618450F7"/>
    <w:rsid w:val="78FB33CD"/>
    <w:rsid w:val="7B3D2DAF"/>
    <w:rsid w:val="7BF21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outlineLvl w:val="0"/>
    </w:pPr>
    <w:rPr>
      <w:rFonts w:cs="方正小标宋简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880" w:firstLineChars="200"/>
      <w:outlineLvl w:val="1"/>
    </w:pPr>
    <w:rPr>
      <w:rFonts w:ascii="Arial" w:hAnsi="Arial" w:eastAsia="黑体" w:cs="黑体"/>
      <w:b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2021-04-14T10:38:00Z</dcterms:created>
  <dc:creator>jojo</dc:creator>
  <cp:lastModifiedBy>jojo</cp:lastModifiedBy>
  <dcterms:modified xsi:type="dcterms:W3CDTF">2021-07-27T09:30:17Z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