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idowControl/>
        <w:jc w:val="left"/>
        <w:rPr>
          <w:rFonts w:hint="eastAsia" w:ascii="黑体" w:hAnsi="黑体" w:eastAsia="黑体"/>
          <w:sz w:val="40"/>
          <w:szCs w:val="30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工业互联网园区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指南</w:t>
      </w:r>
    </w:p>
    <w:p>
      <w:pPr>
        <w:spacing w:line="360" w:lineRule="auto"/>
        <w:jc w:val="center"/>
        <w:rPr>
          <w:rFonts w:hint="eastAsia" w:ascii="楷体_GB2312" w:hAnsi="楷体_GB2312" w:eastAsia="楷体_GB2312"/>
          <w:b/>
          <w:bCs/>
          <w:sz w:val="18"/>
          <w:szCs w:val="30"/>
        </w:rPr>
      </w:pPr>
    </w:p>
    <w:p>
      <w:pPr>
        <w:spacing w:line="480" w:lineRule="auto"/>
        <w:jc w:val="center"/>
        <w:rPr>
          <w:rFonts w:ascii="黑体" w:eastAsia="黑体"/>
          <w:sz w:val="32"/>
          <w:szCs w:val="30"/>
        </w:rPr>
      </w:pPr>
      <w:r>
        <w:rPr>
          <w:rFonts w:hint="eastAsia" w:ascii="黑体" w:eastAsia="黑体"/>
          <w:sz w:val="32"/>
          <w:szCs w:val="30"/>
        </w:rPr>
        <w:t xml:space="preserve">第一章  总  则 </w:t>
      </w:r>
    </w:p>
    <w:p>
      <w:pPr>
        <w:spacing w:line="360" w:lineRule="auto"/>
        <w:ind w:firstLine="720" w:firstLineChars="225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第一条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为贯彻落实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山东省人民政府办公厅关于加快工业互联网发展若干措施的通知》（鲁政办字〔2020〕125号）文件精神，加快推进工业互联网建设与园区经济相结合，推动园区企业规模化开展数字化转型升级，提升区域制造资源共享和协同水平，培育一批工业互联网应用样板园区，特制定本办法。</w:t>
      </w:r>
    </w:p>
    <w:p>
      <w:pPr>
        <w:spacing w:line="360" w:lineRule="auto"/>
        <w:ind w:firstLine="720" w:firstLineChars="225"/>
        <w:rPr>
          <w:rFonts w:ascii="仿宋_GB2312" w:eastAsia="仿宋_GB2312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第二条</w:t>
      </w:r>
      <w:r>
        <w:rPr>
          <w:rFonts w:hint="eastAsia" w:ascii="仿宋_GB2312" w:eastAsia="仿宋_GB2312"/>
          <w:sz w:val="32"/>
          <w:szCs w:val="30"/>
        </w:rPr>
        <w:t xml:space="preserve">  </w:t>
      </w:r>
      <w:r>
        <w:rPr>
          <w:rFonts w:hint="eastAsia" w:ascii="仿宋_GB2312" w:eastAsia="仿宋_GB2312"/>
          <w:sz w:val="32"/>
          <w:szCs w:val="30"/>
          <w:lang w:eastAsia="zh-CN"/>
        </w:rPr>
        <w:t>按照“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统筹规划、突出特色，政府引导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园区主导，遵循规律、创新驱动”原则，着重在工业互联网建设基础、应用支撑、协同创新、综合成效等方面形成示范作用，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打造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国内领先水平的工业互联网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建设应用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集聚区。</w:t>
      </w:r>
    </w:p>
    <w:p>
      <w:pPr>
        <w:spacing w:line="360" w:lineRule="auto"/>
        <w:ind w:firstLine="720" w:firstLineChars="22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0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业互联网园区是由多个具有独立法人的企业构成，企业之间以工业互联网为基础、相互联系且存在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"http://qikan.cqvip.com/Qikan/Article/Detail?id=27736915" \t "_blank"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竞合关系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、管理主体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市级及以上人民政府认定的专门运营管理单位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明确，园区内产业集中、基础设施和管理体系完善、具有相对完整的上下游产业链、以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工业互联网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引领带动实体经济振兴的工业区域。由各设区市工信部门负责组织创建、申报与建设管理工作。</w:t>
      </w:r>
    </w:p>
    <w:p>
      <w:pPr>
        <w:keepNext/>
        <w:spacing w:line="360" w:lineRule="auto"/>
        <w:jc w:val="center"/>
        <w:rPr>
          <w:rFonts w:ascii="黑体" w:eastAsia="黑体"/>
          <w:sz w:val="32"/>
          <w:szCs w:val="30"/>
        </w:rPr>
      </w:pPr>
      <w:r>
        <w:rPr>
          <w:rFonts w:hint="eastAsia" w:ascii="黑体" w:eastAsia="黑体"/>
          <w:sz w:val="32"/>
          <w:szCs w:val="30"/>
        </w:rPr>
        <w:t>第二章  创建条件</w:t>
      </w:r>
    </w:p>
    <w:p>
      <w:pPr>
        <w:ind w:firstLine="640" w:firstLineChars="200"/>
        <w:rPr>
          <w:rFonts w:ascii="方正仿宋_GBK" w:hAnsi="方正仿宋_GBK" w:eastAsia="方正仿宋_GBK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0"/>
        </w:rPr>
        <w:t>第五条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工业互联网园区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的创建条件主要包括以下方面：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（一）主导产业基础。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主要衡量申报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的主导产业规模、市场品牌、产业特色、龙头企业实力、示范资质等方面情况。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（二）平台建设应用。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主要衡量申报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的工业互联网平台、标杆工厂示范、国家试点项目等方面情况。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）信息基础设施。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主要衡量申报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的网络覆盖、网络服务、标识解析、新一代信息基础设施等方面情况。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）良性区域生态。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主要衡量申报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的科技创新、公共服务、产融结合等方面情况。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）政府保障措施。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主要衡量申报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的政策环境、组织机制、资金支持等方面情况。</w:t>
      </w:r>
    </w:p>
    <w:p>
      <w:pPr>
        <w:spacing w:line="360" w:lineRule="auto"/>
        <w:jc w:val="center"/>
        <w:rPr>
          <w:rFonts w:ascii="黑体" w:eastAsia="黑体"/>
          <w:sz w:val="32"/>
          <w:szCs w:val="30"/>
        </w:rPr>
      </w:pPr>
      <w:r>
        <w:rPr>
          <w:rFonts w:hint="eastAsia" w:ascii="黑体" w:eastAsia="黑体"/>
          <w:sz w:val="32"/>
          <w:szCs w:val="30"/>
        </w:rPr>
        <w:t>第三章  工作程序</w:t>
      </w:r>
    </w:p>
    <w:p>
      <w:pPr>
        <w:spacing w:line="360" w:lineRule="auto"/>
        <w:ind w:firstLine="640" w:firstLineChars="200"/>
        <w:rPr>
          <w:rFonts w:ascii="方正仿宋_GBK" w:hAnsi="方正仿宋_GBK" w:eastAsia="方正仿宋_GBK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第六条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工业互联网园区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申报材料由所在地设区市（区）工信部门推荐至省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工业和信息化厅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第七条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省工业互联网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申报材料包括：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申报单位所在地设区市（区）工信部门推荐意见；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.山东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工业互联网园区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申报表；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工业互联网建设规划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专家论证意见（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.工业互联网园区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空间布局图；</w:t>
      </w:r>
    </w:p>
    <w:p>
      <w:pPr>
        <w:ind w:firstLine="640" w:firstLineChars="200"/>
        <w:rPr>
          <w:rFonts w:ascii="方正仿宋_GBK" w:hAnsi="方正仿宋_GBK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申报单位所在地政府落实相关扶持政策证明文件。</w:t>
      </w:r>
    </w:p>
    <w:p>
      <w:pPr>
        <w:spacing w:line="360" w:lineRule="auto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 xml:space="preserve">    </w:t>
      </w:r>
      <w:r>
        <w:rPr>
          <w:rFonts w:hint="eastAsia" w:ascii="黑体" w:hAnsi="黑体" w:eastAsia="黑体" w:cs="黑体"/>
          <w:sz w:val="32"/>
          <w:szCs w:val="30"/>
        </w:rPr>
        <w:t xml:space="preserve">第八条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工业和信息化厅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组织专家对申报材料进行评估评审和实地考察，遴选认定符合要求的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 xml:space="preserve">    </w:t>
      </w:r>
      <w:r>
        <w:rPr>
          <w:rFonts w:hint="eastAsia" w:ascii="黑体" w:hAnsi="黑体" w:eastAsia="黑体" w:cs="黑体"/>
          <w:sz w:val="32"/>
          <w:szCs w:val="30"/>
        </w:rPr>
        <w:t xml:space="preserve">第九条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工业和信息化厅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根据本省相关政策对认定的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工业互联网园区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进行表彰和政策支持。</w:t>
      </w:r>
      <w:r>
        <w:rPr>
          <w:rFonts w:hint="eastAsia" w:ascii="方正仿宋_GBK" w:hAnsi="方正仿宋_GBK"/>
          <w:sz w:val="32"/>
        </w:rPr>
        <w:t xml:space="preserve"> </w:t>
      </w:r>
      <w:r>
        <w:rPr>
          <w:rFonts w:hint="eastAsia" w:ascii="仿宋_GB2312" w:eastAsia="仿宋_GB2312"/>
          <w:sz w:val="32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jc w:val="center"/>
        <w:rPr>
          <w:rFonts w:ascii="黑体" w:eastAsia="黑体"/>
          <w:sz w:val="32"/>
          <w:szCs w:val="30"/>
        </w:rPr>
      </w:pPr>
      <w:r>
        <w:rPr>
          <w:rFonts w:hint="eastAsia" w:ascii="黑体" w:eastAsia="黑体"/>
          <w:sz w:val="32"/>
          <w:szCs w:val="30"/>
        </w:rPr>
        <w:t>第四章  管理方式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第十</w:t>
      </w:r>
      <w:r>
        <w:rPr>
          <w:rFonts w:ascii="黑体" w:hAnsi="黑体" w:eastAsia="黑体" w:cs="黑体"/>
          <w:sz w:val="32"/>
          <w:szCs w:val="30"/>
        </w:rPr>
        <w:t>条</w:t>
      </w:r>
      <w:r>
        <w:rPr>
          <w:rFonts w:hint="eastAsia" w:ascii="黑体" w:hAnsi="黑体" w:eastAsia="黑体" w:cs="黑体"/>
          <w:sz w:val="32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各设区市及园区要形成日常管理机制，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对照创建条件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补齐短板、提高质量、引领创新，积极开展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内工业互联网相关领域的建设工作。</w:t>
      </w:r>
      <w:r>
        <w:rPr>
          <w:rFonts w:hint="eastAsia" w:ascii="黑体" w:hAnsi="黑体" w:eastAsia="黑体" w:cs="黑体"/>
          <w:sz w:val="32"/>
          <w:szCs w:val="30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0"/>
        </w:rPr>
        <w:t>第十一条</w:t>
      </w:r>
      <w:r>
        <w:rPr>
          <w:rFonts w:hint="eastAsia" w:ascii="仿宋_GB2312" w:eastAsia="仿宋_GB2312"/>
          <w:sz w:val="32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省工业和信息化厅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工业互联网园区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进行发展情况监测分析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动态管理和质量评价，实行退出机制。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第十二条</w:t>
      </w:r>
      <w:r>
        <w:rPr>
          <w:rFonts w:hint="eastAsia" w:ascii="方正仿宋_GBK" w:hAnsi="方正仿宋_GBK" w:eastAsia="方正仿宋_GBK" w:cs="仿宋_GB2312"/>
          <w:color w:val="000000"/>
          <w:sz w:val="32"/>
          <w:szCs w:val="32"/>
        </w:rPr>
        <w:t xml:space="preserve"> </w:t>
      </w:r>
      <w:r>
        <w:rPr>
          <w:rFonts w:ascii="方正仿宋_GBK" w:hAnsi="方正仿宋_GBK" w:eastAsia="方正仿宋_GBK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>通过认定的园区建设期为3年，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奖补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资金总额的50%，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省工业和信息化厅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中期评估，第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3年进行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园区终期验收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通过验收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拨付50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的奖补资金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验收的园区，限期半年进行整改，整改后仍不达标的，直接公告退出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全额上交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拨付资金。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黑体" w:hAnsi="黑体" w:eastAsia="黑体" w:cs="黑体"/>
          <w:sz w:val="32"/>
          <w:szCs w:val="30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省工业互联网园区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如发生重大或特别重大生产安全事故，或者发生Ⅱ级或Ⅰ级突发环境污染事件，直接公告退出，不再对其进行发展质量评价。</w:t>
      </w:r>
    </w:p>
    <w:p>
      <w:pPr>
        <w:spacing w:line="360" w:lineRule="auto"/>
        <w:jc w:val="center"/>
        <w:rPr>
          <w:rFonts w:ascii="黑体" w:eastAsia="黑体"/>
          <w:sz w:val="32"/>
          <w:szCs w:val="30"/>
        </w:rPr>
      </w:pPr>
      <w:r>
        <w:rPr>
          <w:rFonts w:hint="eastAsia" w:ascii="黑体" w:eastAsia="黑体"/>
          <w:sz w:val="32"/>
          <w:szCs w:val="30"/>
        </w:rPr>
        <w:t>第五章  附  则</w:t>
      </w:r>
    </w:p>
    <w:p>
      <w:pPr>
        <w:ind w:firstLine="640" w:firstLineChars="200"/>
        <w:rPr>
          <w:rFonts w:hint="eastAsia" w:ascii="方正仿宋_GBK" w:hAnsi="方正仿宋_GBK" w:eastAsia="方正仿宋_GBK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0"/>
        </w:rPr>
        <w:t>第十四条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本办法自202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日起实施。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本</w:t>
      </w:r>
      <w:r>
        <w:rPr>
          <w:rFonts w:ascii="仿宋_GB2312" w:eastAsia="仿宋_GB2312"/>
          <w:sz w:val="32"/>
          <w:szCs w:val="30"/>
        </w:rPr>
        <w:t>细则</w:t>
      </w:r>
      <w:r>
        <w:rPr>
          <w:rFonts w:hint="eastAsia" w:ascii="仿宋_GB2312" w:eastAsia="仿宋_GB2312"/>
          <w:sz w:val="32"/>
          <w:szCs w:val="30"/>
        </w:rPr>
        <w:t>由</w:t>
      </w:r>
      <w:r>
        <w:rPr>
          <w:rFonts w:ascii="仿宋_GB2312" w:eastAsia="仿宋_GB2312"/>
          <w:sz w:val="32"/>
          <w:szCs w:val="30"/>
        </w:rPr>
        <w:t>省</w:t>
      </w:r>
      <w:r>
        <w:rPr>
          <w:rFonts w:hint="eastAsia" w:ascii="仿宋_GB2312" w:eastAsia="仿宋_GB2312"/>
          <w:sz w:val="32"/>
          <w:szCs w:val="30"/>
          <w:lang w:eastAsia="zh-CN"/>
        </w:rPr>
        <w:t>工业和信息化</w:t>
      </w:r>
      <w:r>
        <w:rPr>
          <w:rFonts w:ascii="仿宋_GB2312" w:eastAsia="仿宋_GB2312"/>
          <w:sz w:val="32"/>
          <w:szCs w:val="30"/>
        </w:rPr>
        <w:t>厅</w:t>
      </w:r>
      <w:r>
        <w:rPr>
          <w:rFonts w:hint="eastAsia" w:ascii="仿宋_GB2312" w:eastAsia="仿宋_GB2312"/>
          <w:sz w:val="32"/>
          <w:szCs w:val="30"/>
          <w:lang w:eastAsia="zh-CN"/>
        </w:rPr>
        <w:t>工业互联网</w:t>
      </w:r>
      <w:r>
        <w:rPr>
          <w:rFonts w:ascii="仿宋_GB2312" w:eastAsia="仿宋_GB2312"/>
          <w:sz w:val="32"/>
          <w:szCs w:val="30"/>
        </w:rPr>
        <w:t>处</w:t>
      </w:r>
      <w:r>
        <w:rPr>
          <w:rFonts w:hint="eastAsia" w:ascii="仿宋_GB2312" w:eastAsia="仿宋_GB2312"/>
          <w:sz w:val="32"/>
          <w:szCs w:val="30"/>
        </w:rPr>
        <w:t>负责</w:t>
      </w:r>
      <w:r>
        <w:rPr>
          <w:rFonts w:ascii="仿宋_GB2312" w:eastAsia="仿宋_GB2312"/>
          <w:sz w:val="32"/>
          <w:szCs w:val="30"/>
        </w:rPr>
        <w:t>解释。</w:t>
      </w:r>
    </w:p>
    <w:p>
      <w:pPr>
        <w:spacing w:line="360" w:lineRule="auto"/>
        <w:rPr>
          <w:rFonts w:ascii="仿宋_GB2312" w:eastAsia="仿宋_GB2312"/>
          <w:sz w:val="32"/>
          <w:szCs w:val="30"/>
        </w:rPr>
      </w:pPr>
    </w:p>
    <w:p>
      <w:pPr>
        <w:spacing w:line="360" w:lineRule="auto"/>
        <w:rPr>
          <w:rFonts w:ascii="仿宋_GB2312" w:eastAsia="仿宋_GB2312"/>
          <w:sz w:val="32"/>
          <w:szCs w:val="30"/>
        </w:rPr>
      </w:pPr>
    </w:p>
    <w:p>
      <w:pPr>
        <w:spacing w:line="360" w:lineRule="auto"/>
        <w:rPr>
          <w:rFonts w:ascii="仿宋_GB2312" w:eastAsia="仿宋_GB2312"/>
          <w:sz w:val="32"/>
          <w:szCs w:val="30"/>
        </w:rPr>
      </w:pPr>
    </w:p>
    <w:p>
      <w:pPr>
        <w:spacing w:line="360" w:lineRule="auto"/>
        <w:rPr>
          <w:rFonts w:ascii="仿宋_GB2312" w:eastAsia="仿宋_GB2312"/>
          <w:sz w:val="32"/>
          <w:szCs w:val="30"/>
        </w:rPr>
      </w:pPr>
    </w:p>
    <w:p>
      <w:pPr>
        <w:spacing w:line="360" w:lineRule="auto"/>
        <w:rPr>
          <w:rFonts w:ascii="仿宋_GB2312" w:eastAsia="仿宋_GB2312"/>
          <w:sz w:val="32"/>
          <w:szCs w:val="30"/>
        </w:rPr>
      </w:pPr>
    </w:p>
    <w:p>
      <w:pPr>
        <w:spacing w:line="360" w:lineRule="auto"/>
        <w:rPr>
          <w:rFonts w:ascii="仿宋_GB2312" w:eastAsia="仿宋_GB2312"/>
          <w:sz w:val="32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Align="top"/>
      <w:pBdr>
        <w:between w:val="none" w:color="auto" w:sz="0" w:space="0"/>
      </w:pBdr>
    </w:pPr>
    <w:r>
      <w:rPr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>-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E07E0"/>
    <w:rsid w:val="03F14138"/>
    <w:rsid w:val="0A8E07E0"/>
    <w:rsid w:val="0AD978DC"/>
    <w:rsid w:val="0C570B4A"/>
    <w:rsid w:val="10F26BC4"/>
    <w:rsid w:val="14B641E8"/>
    <w:rsid w:val="158B211A"/>
    <w:rsid w:val="1CE40F84"/>
    <w:rsid w:val="28A75163"/>
    <w:rsid w:val="39832FB5"/>
    <w:rsid w:val="3C5042F5"/>
    <w:rsid w:val="3EFA1145"/>
    <w:rsid w:val="417B719A"/>
    <w:rsid w:val="47D7743F"/>
    <w:rsid w:val="483B1F66"/>
    <w:rsid w:val="4D87054F"/>
    <w:rsid w:val="50E867BC"/>
    <w:rsid w:val="51CF4E04"/>
    <w:rsid w:val="51EC4C9C"/>
    <w:rsid w:val="5D356A6D"/>
    <w:rsid w:val="5D6B0DE6"/>
    <w:rsid w:val="5F516161"/>
    <w:rsid w:val="618450F7"/>
    <w:rsid w:val="78FB33CD"/>
    <w:rsid w:val="7B3D2DAF"/>
    <w:rsid w:val="7BF21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outlineLvl w:val="0"/>
    </w:pPr>
    <w:rPr>
      <w:rFonts w:cs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1"/>
    </w:pPr>
    <w:rPr>
      <w:rFonts w:ascii="Arial" w:hAnsi="Arial" w:eastAsia="黑体" w:cs="黑体"/>
      <w:b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9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2021-04-14T10:38:00Z</dcterms:created>
  <dc:creator>jojo</dc:creator>
  <cp:lastModifiedBy>jojo</cp:lastModifiedBy>
  <dcterms:modified xsi:type="dcterms:W3CDTF">2021-07-27T09:30:17Z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