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420" w:lineRule="atLeast"/>
        <w:ind w:left="0" w:right="0" w:firstLine="420"/>
        <w:jc w:val="center"/>
        <w:rPr>
          <w:rFonts w:hint="eastAsia" w:ascii="黑体" w:hAnsi="黑体" w:eastAsia="黑体" w:cs="黑体"/>
          <w:i w:val="0"/>
          <w:caps w:val="0"/>
          <w:color w:val="000000"/>
          <w:spacing w:val="0"/>
          <w:sz w:val="32"/>
          <w:szCs w:val="32"/>
        </w:rPr>
      </w:pP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420" w:lineRule="atLeast"/>
        <w:ind w:left="0" w:right="0" w:firstLine="420"/>
        <w:jc w:val="center"/>
        <w:rPr>
          <w:rFonts w:hint="eastAsia" w:ascii="黑体" w:hAnsi="黑体" w:eastAsia="黑体" w:cs="黑体"/>
          <w:i w:val="0"/>
          <w:caps w:val="0"/>
          <w:color w:val="000000"/>
          <w:spacing w:val="0"/>
          <w:sz w:val="32"/>
          <w:szCs w:val="32"/>
        </w:rPr>
      </w:pPr>
      <w:r>
        <w:rPr>
          <w:rFonts w:hint="eastAsia" w:ascii="黑体" w:hAnsi="黑体" w:eastAsia="黑体" w:cs="黑体"/>
          <w:i w:val="0"/>
          <w:caps w:val="0"/>
          <w:color w:val="000000"/>
          <w:spacing w:val="0"/>
          <w:sz w:val="32"/>
          <w:szCs w:val="32"/>
        </w:rPr>
        <w:t>《山东省加快元宇宙产业创新发展的指导意见》起草说明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420" w:lineRule="atLeast"/>
        <w:ind w:left="0" w:right="0" w:firstLine="420"/>
        <w:jc w:val="left"/>
        <w:rPr>
          <w:rFonts w:hint="eastAsia" w:ascii="仿宋" w:hAnsi="仿宋" w:eastAsia="仿宋" w:cs="仿宋"/>
          <w:i w:val="0"/>
          <w:caps w:val="0"/>
          <w:color w:val="000000"/>
          <w:spacing w:val="0"/>
          <w:sz w:val="32"/>
          <w:szCs w:val="32"/>
        </w:rPr>
      </w:pPr>
      <w:bookmarkStart w:id="0" w:name="_GoBack"/>
      <w:bookmarkEnd w:id="0"/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32"/>
          <w:szCs w:val="32"/>
        </w:rPr>
        <w:t>为贯彻落实省委、省政府关于加快打造元宇宙产业发展高地，助力数字经济高质量发展的部署要求，结合我省实际，研究制定了《山东省加快元宇宙产业创新发展的指导意见》（以下简称《指导意见》）。现解读如下：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420" w:lineRule="atLeast"/>
        <w:ind w:left="0" w:right="0" w:firstLine="420"/>
        <w:jc w:val="left"/>
        <w:rPr>
          <w:rFonts w:hint="eastAsia" w:ascii="仿宋" w:hAnsi="仿宋" w:eastAsia="仿宋" w:cs="仿宋"/>
          <w:i w:val="0"/>
          <w:caps w:val="0"/>
          <w:color w:val="000000"/>
          <w:spacing w:val="0"/>
          <w:sz w:val="32"/>
          <w:szCs w:val="32"/>
        </w:rPr>
      </w:pPr>
      <w:r>
        <w:rPr>
          <w:rStyle w:val="5"/>
          <w:rFonts w:hint="eastAsia" w:ascii="仿宋" w:hAnsi="仿宋" w:eastAsia="仿宋" w:cs="仿宋"/>
          <w:i w:val="0"/>
          <w:caps w:val="0"/>
          <w:color w:val="000000"/>
          <w:spacing w:val="0"/>
          <w:sz w:val="32"/>
          <w:szCs w:val="32"/>
        </w:rPr>
        <w:t>一、《指导意见》起草背景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420" w:lineRule="atLeast"/>
        <w:ind w:left="0" w:right="0" w:firstLine="420"/>
        <w:jc w:val="left"/>
        <w:rPr>
          <w:rFonts w:hint="eastAsia" w:ascii="仿宋" w:hAnsi="仿宋" w:eastAsia="仿宋" w:cs="仿宋"/>
          <w:i w:val="0"/>
          <w:caps w:val="0"/>
          <w:color w:val="000000"/>
          <w:spacing w:val="0"/>
          <w:sz w:val="32"/>
          <w:szCs w:val="32"/>
        </w:rPr>
      </w:pP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32"/>
          <w:szCs w:val="32"/>
        </w:rPr>
        <w:t>元宇宙是综合运用虚拟现实、数字孪生、区块链、物联网、5/6G、人工智能等多种信息技术创造和构建的新型虚实相融、映射交互的数字空间，作为新一代信息技术重要前沿领域，对我省塑造数字经济发展新增长点、培强产业竞争新优势具有重要意义。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420" w:lineRule="atLeast"/>
        <w:ind w:left="0" w:right="0" w:firstLine="420"/>
        <w:jc w:val="left"/>
        <w:rPr>
          <w:rFonts w:hint="eastAsia" w:ascii="仿宋" w:hAnsi="仿宋" w:eastAsia="仿宋" w:cs="仿宋"/>
          <w:i w:val="0"/>
          <w:caps w:val="0"/>
          <w:color w:val="000000"/>
          <w:spacing w:val="0"/>
          <w:sz w:val="32"/>
          <w:szCs w:val="32"/>
        </w:rPr>
      </w:pP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32"/>
          <w:szCs w:val="32"/>
        </w:rPr>
        <w:t>今年以来，着眼放大全省虚拟现实产业先发优势，前瞻布局元宇宙数字经济新赛道，省工业和信息化厅牵头，谋划开展《指导意见》起草工作，文件进行多次征求意见和修改提升，由省工业和信息化厅、省发展改革委、省教育厅、省科技厅、省财政厅、省文化和旅游厅六部门共同印发实施。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420" w:lineRule="atLeast"/>
        <w:ind w:left="0" w:right="0" w:firstLine="420"/>
        <w:jc w:val="left"/>
        <w:rPr>
          <w:rFonts w:hint="eastAsia" w:ascii="仿宋" w:hAnsi="仿宋" w:eastAsia="仿宋" w:cs="仿宋"/>
          <w:i w:val="0"/>
          <w:caps w:val="0"/>
          <w:color w:val="000000"/>
          <w:spacing w:val="0"/>
          <w:sz w:val="32"/>
          <w:szCs w:val="32"/>
        </w:rPr>
      </w:pPr>
      <w:r>
        <w:rPr>
          <w:rStyle w:val="5"/>
          <w:rFonts w:hint="eastAsia" w:ascii="仿宋" w:hAnsi="仿宋" w:eastAsia="仿宋" w:cs="仿宋"/>
          <w:i w:val="0"/>
          <w:caps w:val="0"/>
          <w:color w:val="000000"/>
          <w:spacing w:val="0"/>
          <w:sz w:val="32"/>
          <w:szCs w:val="32"/>
        </w:rPr>
        <w:t>二、《指导意见》主要内容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420" w:lineRule="atLeast"/>
        <w:ind w:left="0" w:right="0" w:firstLine="420"/>
        <w:jc w:val="left"/>
        <w:rPr>
          <w:rFonts w:hint="eastAsia" w:ascii="仿宋" w:hAnsi="仿宋" w:eastAsia="仿宋" w:cs="仿宋"/>
          <w:i w:val="0"/>
          <w:caps w:val="0"/>
          <w:color w:val="000000"/>
          <w:spacing w:val="0"/>
          <w:sz w:val="32"/>
          <w:szCs w:val="32"/>
        </w:rPr>
      </w:pP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32"/>
          <w:szCs w:val="32"/>
        </w:rPr>
        <w:t>《指导意见》共三部分。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420" w:lineRule="atLeast"/>
        <w:ind w:left="0" w:right="0" w:firstLine="420"/>
        <w:jc w:val="left"/>
        <w:rPr>
          <w:rFonts w:hint="eastAsia" w:ascii="仿宋" w:hAnsi="仿宋" w:eastAsia="仿宋" w:cs="仿宋"/>
          <w:i w:val="0"/>
          <w:caps w:val="0"/>
          <w:color w:val="000000"/>
          <w:spacing w:val="0"/>
          <w:sz w:val="32"/>
          <w:szCs w:val="32"/>
        </w:rPr>
      </w:pP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32"/>
          <w:szCs w:val="32"/>
        </w:rPr>
        <w:t>第一部分：总体要求。主要明确指导思想，提出“一核引领、双擎驱动、多点支撑”的产业发展格局，“2025年，努力把我省建设为国内领先具有全球竞争力的元宇宙科技创新高地、产业集聚区和融合应用示范区”发展总目标，以及产业链条进一步完善、创新能力进一步增强、梯次结构进一步优化、应用赋能进一步深入等4项具体细化目标。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420" w:lineRule="atLeast"/>
        <w:ind w:left="0" w:right="0" w:firstLine="420"/>
        <w:jc w:val="left"/>
        <w:rPr>
          <w:rFonts w:hint="eastAsia" w:ascii="仿宋" w:hAnsi="仿宋" w:eastAsia="仿宋" w:cs="仿宋"/>
          <w:i w:val="0"/>
          <w:caps w:val="0"/>
          <w:color w:val="000000"/>
          <w:spacing w:val="0"/>
          <w:sz w:val="32"/>
          <w:szCs w:val="32"/>
        </w:rPr>
      </w:pP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32"/>
          <w:szCs w:val="32"/>
        </w:rPr>
        <w:t>第二部分：重点任务。主要明确加快核心产业发展、强化市场主体培育、增强技术创新能力、拓宽融合应用场景、构建优良产业生态5项重点任务和推进塑强关键硬件、做大龙头企业、强化“元技术”攻关等19项具体措施，并通过专栏形式明确实施关键硬件筑基、数字工具攻关、产业园区建设、共性技术突破、创新平台提质、标准体系建设、应用场景拓展7项行动。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420" w:lineRule="atLeast"/>
        <w:ind w:left="0" w:right="0" w:firstLine="420"/>
        <w:jc w:val="left"/>
        <w:rPr>
          <w:rFonts w:hint="eastAsia" w:ascii="仿宋" w:hAnsi="仿宋" w:eastAsia="仿宋" w:cs="仿宋"/>
          <w:i w:val="0"/>
          <w:caps w:val="0"/>
          <w:color w:val="000000"/>
          <w:spacing w:val="0"/>
          <w:sz w:val="32"/>
          <w:szCs w:val="32"/>
        </w:rPr>
      </w:pP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32"/>
          <w:szCs w:val="32"/>
        </w:rPr>
        <w:t>第三部分：保障措施。主要从加强组织领导、加大财政支持、健全治理体系、强化宣传推广4个方面明确要求。重点任务、保障措施部分都明确了部门责任分工。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420" w:lineRule="atLeast"/>
        <w:ind w:left="0" w:right="0" w:firstLine="420"/>
        <w:jc w:val="left"/>
        <w:rPr>
          <w:rFonts w:hint="eastAsia" w:ascii="仿宋" w:hAnsi="仿宋" w:eastAsia="仿宋" w:cs="仿宋"/>
          <w:i w:val="0"/>
          <w:caps w:val="0"/>
          <w:color w:val="000000"/>
          <w:spacing w:val="0"/>
          <w:sz w:val="32"/>
          <w:szCs w:val="32"/>
        </w:rPr>
      </w:pPr>
      <w:r>
        <w:rPr>
          <w:rStyle w:val="5"/>
          <w:rFonts w:hint="eastAsia" w:ascii="仿宋" w:hAnsi="仿宋" w:eastAsia="仿宋" w:cs="仿宋"/>
          <w:i w:val="0"/>
          <w:caps w:val="0"/>
          <w:color w:val="000000"/>
          <w:spacing w:val="0"/>
          <w:sz w:val="32"/>
          <w:szCs w:val="32"/>
        </w:rPr>
        <w:t>三、《指导意见》主要原则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420" w:lineRule="atLeast"/>
        <w:ind w:left="0" w:right="0" w:firstLine="420"/>
        <w:jc w:val="left"/>
        <w:rPr>
          <w:rFonts w:hint="eastAsia" w:ascii="仿宋" w:hAnsi="仿宋" w:eastAsia="仿宋" w:cs="仿宋"/>
          <w:i w:val="0"/>
          <w:caps w:val="0"/>
          <w:color w:val="000000"/>
          <w:spacing w:val="0"/>
          <w:sz w:val="32"/>
          <w:szCs w:val="32"/>
        </w:rPr>
      </w:pP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32"/>
          <w:szCs w:val="32"/>
        </w:rPr>
        <w:t>一是放大优势、加快发展。充分放大歌尔等龙头企业在虚拟现实领域形成的先发优势，加快打造“智能硬件+数字工具+内容产品”全产业链条，不断推动我省元宇宙产业做大规模、做强特色。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420" w:lineRule="atLeast"/>
        <w:ind w:left="0" w:right="0" w:firstLine="420"/>
        <w:jc w:val="left"/>
        <w:rPr>
          <w:rFonts w:hint="eastAsia" w:ascii="仿宋" w:hAnsi="仿宋" w:eastAsia="仿宋" w:cs="仿宋"/>
          <w:i w:val="0"/>
          <w:caps w:val="0"/>
          <w:color w:val="000000"/>
          <w:spacing w:val="0"/>
          <w:sz w:val="32"/>
          <w:szCs w:val="32"/>
        </w:rPr>
      </w:pP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32"/>
          <w:szCs w:val="32"/>
        </w:rPr>
        <w:t>二是市场驱动、融合发展。聚焦赋能产业数字化转型这个重点任务，提出元宇宙+工业经济、文化旅游、教育培训、医疗健康、政务服务等系列行动，加快推动元宇宙技术与行业应用融合渗透，以市场需求为牵引打造多元应用场景、培育增长新动能。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420" w:lineRule="atLeast"/>
        <w:ind w:left="0" w:right="0" w:firstLine="420"/>
        <w:jc w:val="left"/>
        <w:rPr>
          <w:rFonts w:hint="eastAsia" w:ascii="仿宋" w:hAnsi="仿宋" w:eastAsia="仿宋" w:cs="仿宋"/>
          <w:i w:val="0"/>
          <w:caps w:val="0"/>
          <w:color w:val="000000"/>
          <w:spacing w:val="0"/>
          <w:sz w:val="32"/>
          <w:szCs w:val="32"/>
        </w:rPr>
      </w:pP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32"/>
          <w:szCs w:val="32"/>
        </w:rPr>
        <w:t>三是创新引领、突破发展。明确提出强化关键重点领域元技术攻关，持续建强国家和省级重点元创新平台，优化元标准供给，增强产业核心竞争力。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420" w:lineRule="atLeast"/>
        <w:ind w:left="0" w:right="0" w:firstLine="420"/>
        <w:jc w:val="left"/>
        <w:rPr>
          <w:rFonts w:hint="eastAsia" w:ascii="仿宋" w:hAnsi="仿宋" w:eastAsia="仿宋" w:cs="仿宋"/>
          <w:i w:val="0"/>
          <w:caps w:val="0"/>
          <w:color w:val="000000"/>
          <w:spacing w:val="0"/>
          <w:sz w:val="32"/>
          <w:szCs w:val="32"/>
        </w:rPr>
      </w:pP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32"/>
          <w:szCs w:val="32"/>
        </w:rPr>
        <w:t>四是优化生态、集聚发展。以建设产业联盟和特色产业园区为带动，高效集聚高端人才、基础设施、服务载体等生态要素，加快打造系统完备、互联共生、创新活跃、安全稳定的元宇宙产业生态，促进产业集聚集群高质量发展。</w:t>
      </w:r>
    </w:p>
    <w:p>
      <w:pPr>
        <w:rPr>
          <w:rFonts w:hint="eastAsia" w:ascii="仿宋" w:hAnsi="仿宋" w:eastAsia="仿宋" w:cs="仿宋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sans-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琥珀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华文细黑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Calibri Light">
    <w:panose1 w:val="020F0302020204030204"/>
    <w:charset w:val="00"/>
    <w:family w:val="auto"/>
    <w:pitch w:val="default"/>
    <w:sig w:usb0="E4002EFF" w:usb1="C200247B" w:usb2="00000009" w:usb3="00000000" w:csb0="200001F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宋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彩云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方正仿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幼圆">
    <w:panose1 w:val="02010509060101010101"/>
    <w:charset w:val="86"/>
    <w:family w:val="auto"/>
    <w:pitch w:val="default"/>
    <w:sig w:usb0="00000001" w:usb1="080E0000" w:usb2="00000000" w:usb3="00000000" w:csb0="00040000" w:csb1="00000000"/>
  </w:font>
  <w:font w:name="华文新魏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华文隶书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微软雅黑 Light">
    <w:panose1 w:val="020B0502040204020203"/>
    <w:charset w:val="86"/>
    <w:family w:val="auto"/>
    <w:pitch w:val="default"/>
    <w:sig w:usb0="80000287" w:usb1="2ACF001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12F5B77"/>
    <w:rsid w:val="1010621C"/>
    <w:rsid w:val="512F5B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5</TotalTime>
  <ScaleCrop>false</ScaleCrop>
  <LinksUpToDate>false</LinksUpToDate>
  <CharactersWithSpaces>0</CharactersWithSpaces>
  <Application>WPS Office_11.8.6.8810_F1E327BC-269C-435d-A152-05C5408002CA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2023-12-30T00:15:00Z</dcterms:created>
  <dc:creator>zhengah</dc:creator>
  <cp:lastModifiedBy>zhengah</cp:lastModifiedBy>
  <dcterms:modified xsi:type="dcterms:W3CDTF">2023-12-30T00:21:26Z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2052-11.8.6.8810</vt:lpwstr>
  </property>
</Properties>
</file>