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A90" w:rsidRDefault="006C0EE4">
      <w:pPr>
        <w:spacing w:line="520" w:lineRule="exact"/>
        <w:jc w:val="center"/>
        <w:rPr>
          <w:rFonts w:ascii="方正小标宋简体" w:eastAsia="方正小标宋简体"/>
          <w:color w:val="FF0000"/>
          <w:sz w:val="72"/>
          <w:szCs w:val="72"/>
        </w:rPr>
      </w:pPr>
      <w:r>
        <w:rPr>
          <w:rFonts w:ascii="方正小标宋简体" w:eastAsia="方正小标宋简体" w:hAnsiTheme="majorEastAsia" w:hint="eastAsia"/>
          <w:noProof/>
          <w:color w:val="FF0000"/>
          <w:sz w:val="72"/>
          <w:szCs w:val="72"/>
        </w:rPr>
        <mc:AlternateContent>
          <mc:Choice Requires="wps">
            <w:drawing>
              <wp:anchor distT="0" distB="0" distL="114300" distR="114300" simplePos="0" relativeHeight="251659264" behindDoc="0" locked="0" layoutInCell="1" allowOverlap="1">
                <wp:simplePos x="0" y="0"/>
                <wp:positionH relativeFrom="column">
                  <wp:posOffset>-244475</wp:posOffset>
                </wp:positionH>
                <wp:positionV relativeFrom="paragraph">
                  <wp:posOffset>85725</wp:posOffset>
                </wp:positionV>
                <wp:extent cx="4780280" cy="1403985"/>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0230" cy="1403985"/>
                        </a:xfrm>
                        <a:prstGeom prst="rect">
                          <a:avLst/>
                        </a:prstGeom>
                        <a:noFill/>
                        <a:ln w="9525">
                          <a:noFill/>
                          <a:miter lim="800000"/>
                        </a:ln>
                      </wps:spPr>
                      <wps:txbx>
                        <w:txbxContent>
                          <w:p w:rsidR="00041A90" w:rsidRDefault="006C0EE4">
                            <w:pPr>
                              <w:jc w:val="distribute"/>
                              <w:rPr>
                                <w:rFonts w:ascii="方正小标宋简体" w:eastAsia="方正小标宋简体" w:hAnsiTheme="majorEastAsia"/>
                                <w:color w:val="FF0000"/>
                                <w:sz w:val="64"/>
                                <w:szCs w:val="64"/>
                              </w:rPr>
                            </w:pPr>
                            <w:r>
                              <w:rPr>
                                <w:rFonts w:ascii="方正小标宋简体" w:eastAsia="方正小标宋简体" w:hAnsiTheme="majorEastAsia" w:hint="eastAsia"/>
                                <w:color w:val="FF0000"/>
                                <w:sz w:val="64"/>
                                <w:szCs w:val="64"/>
                              </w:rPr>
                              <w:t>山东省工业和信息化厅</w:t>
                            </w:r>
                          </w:p>
                          <w:p w:rsidR="00041A90" w:rsidRDefault="006C0EE4">
                            <w:pPr>
                              <w:jc w:val="distribute"/>
                              <w:rPr>
                                <w:rFonts w:ascii="方正小标宋简体" w:eastAsia="方正小标宋简体" w:hAnsiTheme="majorEastAsia"/>
                                <w:color w:val="FF0000"/>
                                <w:sz w:val="64"/>
                                <w:szCs w:val="64"/>
                              </w:rPr>
                            </w:pPr>
                            <w:r>
                              <w:rPr>
                                <w:rFonts w:ascii="方正小标宋简体" w:eastAsia="方正小标宋简体" w:hAnsiTheme="majorEastAsia" w:hint="eastAsia"/>
                                <w:color w:val="FF0000"/>
                                <w:sz w:val="64"/>
                                <w:szCs w:val="64"/>
                              </w:rPr>
                              <w:t>山东省发展和改革委员会</w:t>
                            </w:r>
                          </w:p>
                          <w:p w:rsidR="00041A90" w:rsidRDefault="006C0EE4">
                            <w:pPr>
                              <w:jc w:val="distribute"/>
                              <w:rPr>
                                <w:rFonts w:ascii="方正小标宋简体" w:eastAsia="方正小标宋简体" w:hAnsiTheme="majorEastAsia"/>
                                <w:color w:val="FF0000"/>
                                <w:sz w:val="64"/>
                                <w:szCs w:val="64"/>
                              </w:rPr>
                            </w:pPr>
                            <w:r>
                              <w:rPr>
                                <w:rFonts w:ascii="方正小标宋简体" w:eastAsia="方正小标宋简体" w:hAnsiTheme="majorEastAsia" w:hint="eastAsia"/>
                                <w:color w:val="FF0000"/>
                                <w:sz w:val="64"/>
                                <w:szCs w:val="64"/>
                              </w:rPr>
                              <w:t>山东省公安厅</w:t>
                            </w:r>
                          </w:p>
                          <w:p w:rsidR="00041A90" w:rsidRDefault="006C0EE4">
                            <w:pPr>
                              <w:jc w:val="distribute"/>
                              <w:rPr>
                                <w:rFonts w:ascii="方正小标宋简体" w:eastAsia="方正小标宋简体" w:hAnsiTheme="majorEastAsia"/>
                                <w:color w:val="FF0000"/>
                                <w:sz w:val="64"/>
                                <w:szCs w:val="64"/>
                              </w:rPr>
                            </w:pPr>
                            <w:r>
                              <w:rPr>
                                <w:rFonts w:ascii="方正小标宋简体" w:eastAsia="方正小标宋简体" w:hAnsiTheme="majorEastAsia" w:hint="eastAsia"/>
                                <w:color w:val="FF0000"/>
                                <w:sz w:val="64"/>
                                <w:szCs w:val="64"/>
                              </w:rPr>
                              <w:t>山东省卫生健康委员会</w:t>
                            </w:r>
                          </w:p>
                          <w:p w:rsidR="00041A90" w:rsidRDefault="00041A90">
                            <w:pPr>
                              <w:jc w:val="distribute"/>
                              <w:rPr>
                                <w:rFonts w:ascii="方正小标宋简体" w:eastAsia="方正小标宋简体" w:hAnsiTheme="majorEastAsia"/>
                                <w:color w:val="FF0000"/>
                                <w:sz w:val="64"/>
                                <w:szCs w:val="64"/>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文本框 2" o:spid="_x0000_s1026" o:spt="202" type="#_x0000_t202" style="position:absolute;left:0pt;margin-left:-19.25pt;margin-top:6.75pt;height:110.55pt;width:376.4pt;z-index:251659264;mso-width-relative:page;mso-height-relative:margin;mso-height-percent:200;" filled="f" stroked="f" coordsize="21600,21600" o:gfxdata="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q1Q32QAAAAoBAAAPAAAAAAAAAAEAIAAA&#10;ACIAAABkcnMvZG93bnJldi54bWxQSwECFAAUAAAACACHTuJAfGmgowsCAADeAwAADgAAAAAAAAAB&#10;ACAAAAAoAQAAZHJzL2Uyb0RvYy54bWxQSwUGAAAAAAYABgBZAQAApQUAAAAA&#10;">
                <v:fill on="f" focussize="0,0"/>
                <v:stroke on="f" miterlimit="8" joinstyle="miter"/>
                <v:imagedata o:title=""/>
                <o:lock v:ext="edit" aspectratio="f"/>
                <v:textbox style="mso-fit-shape-to-text:t;">
                  <w:txbxContent>
                    <w:p>
                      <w:pPr>
                        <w:jc w:val="distribute"/>
                        <w:rPr>
                          <w:rFonts w:hint="eastAsia" w:ascii="方正小标宋简体" w:eastAsia="方正小标宋简体" w:hAnsiTheme="majorEastAsia"/>
                          <w:color w:val="FF0000"/>
                          <w:sz w:val="64"/>
                          <w:szCs w:val="64"/>
                        </w:rPr>
                      </w:pPr>
                      <w:r>
                        <w:rPr>
                          <w:rFonts w:hint="eastAsia" w:ascii="方正小标宋简体" w:eastAsia="方正小标宋简体" w:hAnsiTheme="majorEastAsia"/>
                          <w:color w:val="FF0000"/>
                          <w:sz w:val="64"/>
                          <w:szCs w:val="64"/>
                        </w:rPr>
                        <w:t>山东省工业和信息化厅</w:t>
                      </w:r>
                    </w:p>
                    <w:p>
                      <w:pPr>
                        <w:jc w:val="distribute"/>
                        <w:rPr>
                          <w:rFonts w:hint="eastAsia" w:ascii="方正小标宋简体" w:eastAsia="方正小标宋简体" w:hAnsiTheme="majorEastAsia"/>
                          <w:color w:val="FF0000"/>
                          <w:sz w:val="64"/>
                          <w:szCs w:val="64"/>
                        </w:rPr>
                      </w:pPr>
                      <w:r>
                        <w:rPr>
                          <w:rFonts w:hint="eastAsia" w:ascii="方正小标宋简体" w:eastAsia="方正小标宋简体" w:hAnsiTheme="majorEastAsia"/>
                          <w:color w:val="FF0000"/>
                          <w:sz w:val="64"/>
                          <w:szCs w:val="64"/>
                        </w:rPr>
                        <w:t>山东省</w:t>
                      </w:r>
                      <w:r>
                        <w:rPr>
                          <w:rFonts w:hint="eastAsia" w:ascii="方正小标宋简体" w:eastAsia="方正小标宋简体" w:hAnsiTheme="majorEastAsia"/>
                          <w:color w:val="FF0000"/>
                          <w:sz w:val="64"/>
                          <w:szCs w:val="64"/>
                          <w:lang w:eastAsia="zh-CN"/>
                        </w:rPr>
                        <w:t>发展和改革委员会</w:t>
                      </w:r>
                    </w:p>
                    <w:p>
                      <w:pPr>
                        <w:jc w:val="distribute"/>
                        <w:rPr>
                          <w:rFonts w:hint="eastAsia" w:ascii="方正小标宋简体" w:eastAsia="方正小标宋简体" w:hAnsiTheme="majorEastAsia"/>
                          <w:color w:val="FF0000"/>
                          <w:sz w:val="64"/>
                          <w:szCs w:val="64"/>
                          <w:lang w:eastAsia="zh-CN"/>
                        </w:rPr>
                      </w:pPr>
                      <w:r>
                        <w:rPr>
                          <w:rFonts w:hint="eastAsia" w:ascii="方正小标宋简体" w:eastAsia="方正小标宋简体" w:hAnsiTheme="majorEastAsia"/>
                          <w:color w:val="FF0000"/>
                          <w:sz w:val="64"/>
                          <w:szCs w:val="64"/>
                          <w:lang w:eastAsia="zh-CN"/>
                        </w:rPr>
                        <w:t>山东省公安厅</w:t>
                      </w:r>
                    </w:p>
                    <w:p>
                      <w:pPr>
                        <w:jc w:val="distribute"/>
                        <w:rPr>
                          <w:rFonts w:hint="eastAsia" w:ascii="方正小标宋简体" w:eastAsia="方正小标宋简体" w:hAnsiTheme="majorEastAsia"/>
                          <w:color w:val="FF0000"/>
                          <w:sz w:val="64"/>
                          <w:szCs w:val="64"/>
                          <w:lang w:eastAsia="zh-CN"/>
                        </w:rPr>
                      </w:pPr>
                      <w:r>
                        <w:rPr>
                          <w:rFonts w:hint="eastAsia" w:ascii="方正小标宋简体" w:eastAsia="方正小标宋简体" w:hAnsiTheme="majorEastAsia"/>
                          <w:color w:val="FF0000"/>
                          <w:sz w:val="64"/>
                          <w:szCs w:val="64"/>
                          <w:lang w:eastAsia="zh-CN"/>
                        </w:rPr>
                        <w:t>山东省卫生健康委员会</w:t>
                      </w:r>
                    </w:p>
                    <w:p>
                      <w:pPr>
                        <w:jc w:val="distribute"/>
                        <w:rPr>
                          <w:rFonts w:hint="eastAsia" w:ascii="方正小标宋简体" w:eastAsia="方正小标宋简体" w:hAnsiTheme="majorEastAsia"/>
                          <w:color w:val="FF0000"/>
                          <w:sz w:val="64"/>
                          <w:szCs w:val="64"/>
                          <w:lang w:eastAsia="zh-CN"/>
                        </w:rPr>
                      </w:pPr>
                    </w:p>
                  </w:txbxContent>
                </v:textbox>
              </v:shape>
            </w:pict>
          </mc:Fallback>
        </mc:AlternateContent>
      </w:r>
    </w:p>
    <w:p w:rsidR="00041A90" w:rsidRDefault="00041A90">
      <w:pPr>
        <w:spacing w:line="520" w:lineRule="exact"/>
        <w:jc w:val="center"/>
        <w:rPr>
          <w:rFonts w:ascii="方正小标宋简体" w:eastAsia="方正小标宋简体" w:hAnsiTheme="majorEastAsia"/>
          <w:color w:val="FF0000"/>
          <w:sz w:val="72"/>
          <w:szCs w:val="72"/>
        </w:rPr>
      </w:pPr>
    </w:p>
    <w:p w:rsidR="00041A90" w:rsidRDefault="00041A90">
      <w:pPr>
        <w:spacing w:line="520" w:lineRule="exact"/>
        <w:jc w:val="center"/>
        <w:rPr>
          <w:rFonts w:ascii="方正小标宋简体" w:eastAsia="方正小标宋简体" w:hAnsiTheme="majorEastAsia"/>
          <w:color w:val="FF0000"/>
          <w:sz w:val="72"/>
          <w:szCs w:val="72"/>
        </w:rPr>
      </w:pPr>
    </w:p>
    <w:tbl>
      <w:tblPr>
        <w:tblStyle w:val="a8"/>
        <w:tblW w:w="770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00"/>
      </w:tblGrid>
      <w:tr w:rsidR="00041A90">
        <w:trPr>
          <w:trHeight w:val="1180"/>
        </w:trPr>
        <w:tc>
          <w:tcPr>
            <w:tcW w:w="7700" w:type="dxa"/>
          </w:tcPr>
          <w:p w:rsidR="00041A90" w:rsidRDefault="006C0EE4">
            <w:pPr>
              <w:spacing w:line="560" w:lineRule="exact"/>
              <w:jc w:val="center"/>
              <w:rPr>
                <w:rFonts w:ascii="方正小标宋简体" w:eastAsia="方正小标宋简体" w:hAnsiTheme="majorEastAsia"/>
                <w:sz w:val="72"/>
                <w:szCs w:val="72"/>
              </w:rPr>
            </w:pPr>
            <w:r>
              <w:rPr>
                <w:rFonts w:ascii="方正小标宋简体" w:eastAsia="方正小标宋简体" w:hAnsiTheme="majorEastAsia" w:hint="eastAsia"/>
                <w:noProof/>
                <w:color w:val="FF0000"/>
                <w:sz w:val="72"/>
                <w:szCs w:val="72"/>
              </w:rPr>
              <mc:AlternateContent>
                <mc:Choice Requires="wps">
                  <w:drawing>
                    <wp:anchor distT="0" distB="0" distL="114300" distR="114300" simplePos="0" relativeHeight="251666432" behindDoc="0" locked="0" layoutInCell="1" allowOverlap="1">
                      <wp:simplePos x="0" y="0"/>
                      <wp:positionH relativeFrom="column">
                        <wp:posOffset>4579620</wp:posOffset>
                      </wp:positionH>
                      <wp:positionV relativeFrom="paragraph">
                        <wp:posOffset>249555</wp:posOffset>
                      </wp:positionV>
                      <wp:extent cx="1185545" cy="102298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023042"/>
                              </a:xfrm>
                              <a:prstGeom prst="rect">
                                <a:avLst/>
                              </a:prstGeom>
                              <a:noFill/>
                              <a:ln w="9525">
                                <a:noFill/>
                                <a:miter lim="800000"/>
                              </a:ln>
                            </wps:spPr>
                            <wps:txbx>
                              <w:txbxContent>
                                <w:p w:rsidR="00041A90" w:rsidRDefault="006C0EE4">
                                  <w:pPr>
                                    <w:rPr>
                                      <w:color w:val="FF0000"/>
                                      <w:sz w:val="64"/>
                                      <w:szCs w:val="64"/>
                                    </w:rPr>
                                  </w:pPr>
                                  <w:r>
                                    <w:rPr>
                                      <w:rFonts w:ascii="方正小标宋简体" w:eastAsia="方正小标宋简体" w:hAnsiTheme="majorEastAsia" w:hint="eastAsia"/>
                                      <w:color w:val="FF0000"/>
                                      <w:sz w:val="64"/>
                                      <w:szCs w:val="64"/>
                                    </w:rPr>
                                    <w:t>文件</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60.6pt;margin-top:19.65pt;height:80.55pt;width:93.35pt;z-index:251666432;mso-width-relative:page;mso-height-relative:page;" filled="f" stroked="f" coordsize="21600,21600" o:gfxdata="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RvdNNcAAAAKAQAADwAAAAAAAAABACAAAAAiAAAA&#10;ZHJzL2Rvd25yZXYueG1sUEsBAhQAFAAAAAgAh07iQPe01WQIAgAA3AMAAA4AAAAAAAAAAQAgAAAA&#10;JgEAAGRycy9lMm9Eb2MueG1sUEsFBgAAAAAGAAYAWQEAAKAFAAAAAA==&#10;">
                      <v:fill on="f" focussize="0,0"/>
                      <v:stroke on="f" miterlimit="8" joinstyle="miter"/>
                      <v:imagedata o:title=""/>
                      <o:lock v:ext="edit" aspectratio="f"/>
                      <v:textbox>
                        <w:txbxContent>
                          <w:p>
                            <w:pPr>
                              <w:rPr>
                                <w:color w:val="FF0000"/>
                                <w:sz w:val="64"/>
                                <w:szCs w:val="64"/>
                              </w:rPr>
                            </w:pPr>
                            <w:r>
                              <w:rPr>
                                <w:rFonts w:hint="eastAsia" w:ascii="方正小标宋简体" w:eastAsia="方正小标宋简体" w:hAnsiTheme="majorEastAsia"/>
                                <w:color w:val="FF0000"/>
                                <w:sz w:val="64"/>
                                <w:szCs w:val="64"/>
                              </w:rPr>
                              <w:t>文件</w:t>
                            </w:r>
                          </w:p>
                        </w:txbxContent>
                      </v:textbox>
                    </v:shape>
                  </w:pict>
                </mc:Fallback>
              </mc:AlternateContent>
            </w:r>
          </w:p>
        </w:tc>
      </w:tr>
    </w:tbl>
    <w:p w:rsidR="00041A90" w:rsidRDefault="00041A90">
      <w:pPr>
        <w:spacing w:line="640" w:lineRule="exact"/>
        <w:jc w:val="center"/>
        <w:rPr>
          <w:rFonts w:asciiTheme="majorEastAsia" w:eastAsiaTheme="majorEastAsia" w:hAnsiTheme="majorEastAsia"/>
          <w:sz w:val="40"/>
          <w:szCs w:val="44"/>
        </w:rPr>
      </w:pPr>
    </w:p>
    <w:p w:rsidR="00041A90" w:rsidRDefault="00041A90">
      <w:pPr>
        <w:spacing w:line="620" w:lineRule="exact"/>
        <w:jc w:val="center"/>
        <w:rPr>
          <w:rFonts w:eastAsia="华文中宋"/>
          <w:sz w:val="44"/>
          <w:szCs w:val="44"/>
        </w:rPr>
      </w:pPr>
    </w:p>
    <w:p w:rsidR="00041A90" w:rsidRDefault="00041A90">
      <w:pPr>
        <w:spacing w:line="620" w:lineRule="exact"/>
        <w:jc w:val="center"/>
        <w:rPr>
          <w:rFonts w:eastAsia="华文中宋"/>
          <w:sz w:val="44"/>
          <w:szCs w:val="44"/>
        </w:rPr>
      </w:pPr>
    </w:p>
    <w:p w:rsidR="00041A90" w:rsidRDefault="00041A90">
      <w:pPr>
        <w:spacing w:line="620" w:lineRule="exact"/>
        <w:jc w:val="center"/>
        <w:rPr>
          <w:rFonts w:eastAsia="华文中宋"/>
          <w:sz w:val="44"/>
          <w:szCs w:val="44"/>
        </w:rPr>
      </w:pPr>
    </w:p>
    <w:p w:rsidR="00041A90" w:rsidRDefault="00041A90">
      <w:pPr>
        <w:spacing w:line="620" w:lineRule="exact"/>
        <w:jc w:val="center"/>
        <w:rPr>
          <w:rFonts w:eastAsia="华文中宋"/>
          <w:sz w:val="44"/>
          <w:szCs w:val="44"/>
        </w:rPr>
      </w:pPr>
    </w:p>
    <w:p w:rsidR="00041A90" w:rsidRDefault="006C0EE4">
      <w:pPr>
        <w:spacing w:line="620" w:lineRule="exact"/>
        <w:jc w:val="center"/>
        <w:rPr>
          <w:rFonts w:eastAsia="华文中宋"/>
          <w:sz w:val="44"/>
          <w:szCs w:val="44"/>
        </w:rPr>
      </w:pPr>
      <w:r>
        <w:rPr>
          <w:rFonts w:asciiTheme="majorEastAsia" w:eastAsiaTheme="majorEastAsia" w:hAnsiTheme="majorEastAsia"/>
          <w:noProof/>
          <w:sz w:val="40"/>
          <w:szCs w:val="44"/>
        </w:rPr>
        <mc:AlternateContent>
          <mc:Choice Requires="wps">
            <w:drawing>
              <wp:anchor distT="0" distB="0" distL="114300" distR="114300" simplePos="0" relativeHeight="251662336" behindDoc="0" locked="0" layoutInCell="1" allowOverlap="1">
                <wp:simplePos x="0" y="0"/>
                <wp:positionH relativeFrom="column">
                  <wp:posOffset>-380365</wp:posOffset>
                </wp:positionH>
                <wp:positionV relativeFrom="paragraph">
                  <wp:posOffset>264160</wp:posOffset>
                </wp:positionV>
                <wp:extent cx="534098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40985" cy="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9.95pt;margin-top:20.8pt;height:0pt;width:420.55pt;z-index:251662336;mso-width-relative:page;mso-height-relative:page;" filled="f" stroked="t" coordsize="21600,21600" o:gfxdata="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9IEUtUAAAAJAQAADwAAAAAAAAABACAAAAAiAAAAZHJzL2Rv&#10;d25yZXYueG1sUEsBAhQAFAAAAAgAh07iQLasAnvLAQAAZAMAAA4AAAAAAAAAAQAgAAAAJAEAAGRy&#10;cy9lMm9Eb2MueG1sUEsFBgAAAAAGAAYAWQEAAGEFAAAAAA==&#10;">
                <v:fill on="f" focussize="0,0"/>
                <v:stroke weight="1.5pt" color="#FF0000 [3205]" miterlimit="8" joinstyle="miter"/>
                <v:imagedata o:title=""/>
                <o:lock v:ext="edit" aspectratio="f"/>
              </v:line>
            </w:pict>
          </mc:Fallback>
        </mc:AlternateContent>
      </w:r>
    </w:p>
    <w:p w:rsidR="00985B80" w:rsidRDefault="00985B80">
      <w:pPr>
        <w:spacing w:line="560" w:lineRule="exact"/>
        <w:jc w:val="center"/>
        <w:rPr>
          <w:rFonts w:eastAsia="华文中宋"/>
          <w:sz w:val="44"/>
          <w:szCs w:val="44"/>
        </w:rPr>
      </w:pPr>
    </w:p>
    <w:p w:rsidR="00041A90" w:rsidRDefault="006C0EE4">
      <w:pPr>
        <w:spacing w:line="560" w:lineRule="exact"/>
        <w:jc w:val="center"/>
        <w:rPr>
          <w:rFonts w:ascii="方正小标宋简体" w:eastAsia="方正小标宋简体"/>
          <w:sz w:val="40"/>
          <w:szCs w:val="40"/>
        </w:rPr>
      </w:pPr>
      <w:r>
        <w:rPr>
          <w:rFonts w:ascii="方正小标宋简体" w:eastAsia="方正小标宋简体" w:hint="eastAsia"/>
          <w:sz w:val="40"/>
          <w:szCs w:val="40"/>
        </w:rPr>
        <w:t>关于进一步加强食盐专营管理有关工作的通知</w:t>
      </w:r>
    </w:p>
    <w:p w:rsidR="00041A90" w:rsidRDefault="00041A90">
      <w:pPr>
        <w:spacing w:line="560" w:lineRule="exact"/>
        <w:jc w:val="center"/>
        <w:rPr>
          <w:rFonts w:ascii="方正小标宋简体" w:eastAsia="方正小标宋简体"/>
          <w:sz w:val="44"/>
          <w:szCs w:val="44"/>
        </w:rPr>
      </w:pPr>
    </w:p>
    <w:p w:rsidR="00041A90" w:rsidRDefault="006C0EE4">
      <w:pPr>
        <w:pStyle w:val="a7"/>
        <w:widowControl/>
        <w:spacing w:before="314" w:beforeAutospacing="0" w:afterAutospacing="0" w:line="560" w:lineRule="exact"/>
        <w:rPr>
          <w:rFonts w:ascii="仿宋" w:eastAsia="仿宋" w:hAnsi="仿宋" w:cs="仿宋"/>
          <w:sz w:val="32"/>
          <w:szCs w:val="32"/>
        </w:rPr>
      </w:pPr>
      <w:r>
        <w:rPr>
          <w:rFonts w:ascii="仿宋" w:eastAsia="仿宋" w:hAnsi="仿宋" w:cs="仿宋" w:hint="eastAsia"/>
          <w:color w:val="070707"/>
          <w:sz w:val="32"/>
          <w:szCs w:val="32"/>
        </w:rPr>
        <w:t>各市工业和信息化局、发展改革委、公安局、卫生健康委：</w:t>
      </w:r>
    </w:p>
    <w:p w:rsidR="00041A90" w:rsidRDefault="006C0EE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为深入贯彻落实《食盐专营办法》（国务院令第696号）、《关于深化市场监管综合行政执法改革的指导意见》（中办发〔2018〕62号）、《关于进一步加强食盐专营管理有关工作的通知》（工</w:t>
      </w:r>
      <w:proofErr w:type="gramStart"/>
      <w:r>
        <w:rPr>
          <w:rFonts w:ascii="仿宋" w:eastAsia="仿宋" w:hAnsi="仿宋" w:cs="仿宋" w:hint="eastAsia"/>
          <w:sz w:val="32"/>
          <w:szCs w:val="32"/>
        </w:rPr>
        <w:t>信厅联消费</w:t>
      </w:r>
      <w:proofErr w:type="gramEnd"/>
      <w:r>
        <w:rPr>
          <w:rFonts w:ascii="仿宋" w:eastAsia="仿宋" w:hAnsi="仿宋" w:cs="仿宋" w:hint="eastAsia"/>
          <w:sz w:val="32"/>
          <w:szCs w:val="32"/>
        </w:rPr>
        <w:t>〔2019〕92号）、《食盐质量安全监督管理办法》（国家市场监督管理总局令第23号）和《山东省盐业体制改革实施方案》</w:t>
      </w:r>
      <w:r w:rsidR="0010638F" w:rsidRPr="00E73EDB">
        <w:rPr>
          <w:rFonts w:ascii="仿宋" w:eastAsia="仿宋" w:hAnsi="仿宋" w:cs="仿宋" w:hint="eastAsia"/>
          <w:color w:val="FF0000"/>
          <w:sz w:val="32"/>
          <w:szCs w:val="32"/>
          <w:highlight w:val="yellow"/>
        </w:rPr>
        <w:t>（鲁政发〔2017〕35号）</w:t>
      </w:r>
      <w:r>
        <w:rPr>
          <w:rFonts w:ascii="仿宋" w:eastAsia="仿宋" w:hAnsi="仿宋" w:cs="仿宋" w:hint="eastAsia"/>
          <w:sz w:val="32"/>
          <w:szCs w:val="32"/>
        </w:rPr>
        <w:t>等法律法规和文件精神，进一步加强我省盐业体制改革过渡期后食盐专营管理，现就有关事项通知如下：</w:t>
      </w:r>
    </w:p>
    <w:p w:rsidR="00041A90" w:rsidRDefault="006C0EE4" w:rsidP="0010638F">
      <w:pPr>
        <w:pStyle w:val="a7"/>
        <w:widowControl/>
        <w:spacing w:beforeAutospacing="0" w:afterAutospacing="0" w:line="560" w:lineRule="exact"/>
        <w:ind w:firstLineChars="200" w:firstLine="643"/>
        <w:rPr>
          <w:rFonts w:ascii="仿宋" w:eastAsia="仿宋" w:hAnsi="仿宋" w:cs="仿宋"/>
          <w:b/>
          <w:bCs/>
          <w:sz w:val="32"/>
          <w:szCs w:val="32"/>
        </w:rPr>
      </w:pPr>
      <w:r>
        <w:rPr>
          <w:rFonts w:ascii="仿宋" w:eastAsia="仿宋" w:hAnsi="仿宋" w:cs="仿宋" w:hint="eastAsia"/>
          <w:b/>
          <w:bCs/>
          <w:color w:val="070707"/>
          <w:sz w:val="32"/>
          <w:szCs w:val="32"/>
        </w:rPr>
        <w:lastRenderedPageBreak/>
        <w:t>一、加强食盐专业化监管</w:t>
      </w:r>
    </w:p>
    <w:p w:rsidR="00041A90" w:rsidRDefault="006C0EE4">
      <w:pPr>
        <w:pStyle w:val="a7"/>
        <w:widowControl/>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70707"/>
          <w:sz w:val="32"/>
          <w:szCs w:val="32"/>
        </w:rPr>
        <w:t>各相关部门要在地方政府的统一领导下，按照国家和省相关要求，进一步完善食盐专业化监管体制，尽快完成市县两级盐业监管体制改革，</w:t>
      </w:r>
      <w:r>
        <w:rPr>
          <w:rFonts w:ascii="仿宋" w:eastAsia="仿宋" w:hAnsi="仿宋" w:cs="仿宋" w:hint="eastAsia"/>
          <w:sz w:val="32"/>
          <w:szCs w:val="32"/>
        </w:rPr>
        <w:t>实现省市县三级政企分开，确保食盐监管力量尽快建立健全。</w:t>
      </w:r>
    </w:p>
    <w:p w:rsidR="00041A90" w:rsidRDefault="006C0EE4">
      <w:pPr>
        <w:pStyle w:val="a7"/>
        <w:widowControl/>
        <w:spacing w:beforeAutospacing="0" w:afterAutospacing="0" w:line="560" w:lineRule="exact"/>
        <w:ind w:firstLineChars="200" w:firstLine="640"/>
        <w:jc w:val="both"/>
        <w:rPr>
          <w:rFonts w:ascii="仿宋" w:eastAsia="仿宋" w:hAnsi="仿宋" w:cs="仿宋"/>
          <w:color w:val="070707"/>
          <w:sz w:val="32"/>
          <w:szCs w:val="32"/>
        </w:rPr>
      </w:pPr>
      <w:r>
        <w:rPr>
          <w:rFonts w:ascii="仿宋" w:eastAsia="仿宋" w:hAnsi="仿宋" w:cs="仿宋" w:hint="eastAsia"/>
          <w:color w:val="070707"/>
          <w:sz w:val="32"/>
          <w:szCs w:val="32"/>
        </w:rPr>
        <w:t>市县两级工信部门要与食盐质量安全监管部门加强食盐专营监管和食盐质量安全监管协作配合。严格规范食盐专营执法，防止出现过度执法、随意执法和选择性执法等问题。同时，认真落实《国务院办公厅关于加快推进社会信用体系建设构建以信用为基础的新型监管机制的指导意见》精神，加强对食盐定点生产企业（含多品种食盐定点生产企业，下同）、食盐定点批发企业和</w:t>
      </w:r>
      <w:r w:rsidR="0010638F" w:rsidRPr="00E73EDB">
        <w:rPr>
          <w:rFonts w:ascii="仿宋" w:eastAsia="仿宋" w:hAnsi="仿宋" w:cs="仿宋" w:hint="eastAsia"/>
          <w:color w:val="070707"/>
          <w:sz w:val="32"/>
          <w:szCs w:val="32"/>
          <w:highlight w:val="yellow"/>
        </w:rPr>
        <w:t>其他</w:t>
      </w:r>
      <w:r>
        <w:rPr>
          <w:rFonts w:ascii="仿宋" w:eastAsia="仿宋" w:hAnsi="仿宋" w:cs="仿宋" w:hint="eastAsia"/>
          <w:color w:val="070707"/>
          <w:sz w:val="32"/>
          <w:szCs w:val="32"/>
        </w:rPr>
        <w:t>制盐企业的信用监管。</w:t>
      </w:r>
    </w:p>
    <w:p w:rsidR="00041A90" w:rsidRDefault="006C0EE4">
      <w:pPr>
        <w:pStyle w:val="a7"/>
        <w:widowControl/>
        <w:spacing w:beforeAutospacing="0" w:afterAutospacing="0" w:line="560" w:lineRule="exact"/>
        <w:ind w:firstLineChars="200" w:firstLine="640"/>
        <w:jc w:val="both"/>
        <w:rPr>
          <w:rFonts w:ascii="仿宋" w:eastAsia="仿宋" w:hAnsi="仿宋" w:cs="仿宋"/>
          <w:color w:val="070707"/>
          <w:sz w:val="32"/>
          <w:szCs w:val="32"/>
        </w:rPr>
      </w:pPr>
      <w:r>
        <w:rPr>
          <w:rFonts w:ascii="仿宋" w:eastAsia="仿宋" w:hAnsi="仿宋" w:cs="仿宋" w:hint="eastAsia"/>
          <w:color w:val="070707"/>
          <w:sz w:val="32"/>
          <w:szCs w:val="32"/>
        </w:rPr>
        <w:t>各级工信部门要加强与市场监管、公安</w:t>
      </w:r>
      <w:r>
        <w:rPr>
          <w:rFonts w:ascii="仿宋" w:eastAsia="仿宋" w:hAnsi="仿宋" w:cs="仿宋" w:hint="eastAsia"/>
          <w:color w:val="000000" w:themeColor="text1"/>
          <w:sz w:val="32"/>
          <w:szCs w:val="32"/>
        </w:rPr>
        <w:t>机关</w:t>
      </w:r>
      <w:r>
        <w:rPr>
          <w:rFonts w:ascii="仿宋" w:eastAsia="仿宋" w:hAnsi="仿宋" w:cs="仿宋" w:hint="eastAsia"/>
          <w:color w:val="070707"/>
          <w:sz w:val="32"/>
          <w:szCs w:val="32"/>
        </w:rPr>
        <w:t>等部门的协作配合，加大对涉</w:t>
      </w:r>
      <w:proofErr w:type="gramStart"/>
      <w:r>
        <w:rPr>
          <w:rFonts w:ascii="仿宋" w:eastAsia="仿宋" w:hAnsi="仿宋" w:cs="仿宋" w:hint="eastAsia"/>
          <w:color w:val="070707"/>
          <w:sz w:val="32"/>
          <w:szCs w:val="32"/>
        </w:rPr>
        <w:t>盐违法</w:t>
      </w:r>
      <w:proofErr w:type="gramEnd"/>
      <w:r>
        <w:rPr>
          <w:rFonts w:ascii="仿宋" w:eastAsia="仿宋" w:hAnsi="仿宋" w:cs="仿宋" w:hint="eastAsia"/>
          <w:color w:val="070707"/>
          <w:sz w:val="32"/>
          <w:szCs w:val="32"/>
        </w:rPr>
        <w:t>犯罪行为的打击力度。重点打击未取得食盐定点生产（批发）许可，生产（批发）食盐；以非食用盐、违法购进食盐冲击食盐市场、制售假盐等违法犯罪行为，保障全省食盐市场的规范有序，确保全省食盐质量安全。</w:t>
      </w:r>
    </w:p>
    <w:p w:rsidR="00041A90" w:rsidRDefault="006C0EE4" w:rsidP="0010638F">
      <w:pPr>
        <w:pStyle w:val="a7"/>
        <w:widowControl/>
        <w:spacing w:beforeAutospacing="0" w:afterAutospacing="0" w:line="560" w:lineRule="exact"/>
        <w:ind w:firstLineChars="200" w:firstLine="643"/>
        <w:rPr>
          <w:rFonts w:ascii="仿宋" w:eastAsia="仿宋" w:hAnsi="仿宋" w:cs="仿宋"/>
          <w:b/>
          <w:bCs/>
          <w:sz w:val="32"/>
          <w:szCs w:val="32"/>
        </w:rPr>
      </w:pPr>
      <w:r>
        <w:rPr>
          <w:rFonts w:ascii="仿宋" w:eastAsia="仿宋" w:hAnsi="仿宋" w:cs="仿宋" w:hint="eastAsia"/>
          <w:b/>
          <w:bCs/>
          <w:color w:val="070707"/>
          <w:sz w:val="32"/>
          <w:szCs w:val="32"/>
        </w:rPr>
        <w:t>二、完善食盐定点企业资质管理</w:t>
      </w:r>
    </w:p>
    <w:p w:rsidR="00041A90" w:rsidRDefault="006C0EE4">
      <w:pPr>
        <w:pStyle w:val="a7"/>
        <w:widowControl/>
        <w:spacing w:beforeAutospacing="0" w:afterAutospacing="0" w:line="560" w:lineRule="exact"/>
        <w:ind w:firstLineChars="200" w:firstLine="640"/>
        <w:jc w:val="both"/>
        <w:rPr>
          <w:rFonts w:ascii="仿宋" w:eastAsia="仿宋" w:hAnsi="仿宋" w:cs="仿宋"/>
          <w:color w:val="070707"/>
          <w:sz w:val="32"/>
          <w:szCs w:val="32"/>
        </w:rPr>
      </w:pPr>
      <w:r>
        <w:rPr>
          <w:rFonts w:ascii="仿宋" w:eastAsia="仿宋" w:hAnsi="仿宋" w:cs="仿宋" w:hint="eastAsia"/>
          <w:sz w:val="32"/>
          <w:szCs w:val="32"/>
        </w:rPr>
        <w:t>各</w:t>
      </w:r>
      <w:r>
        <w:rPr>
          <w:rFonts w:ascii="仿宋" w:eastAsia="仿宋" w:hAnsi="仿宋" w:cs="仿宋" w:hint="eastAsia"/>
          <w:color w:val="070707"/>
          <w:sz w:val="32"/>
          <w:szCs w:val="32"/>
        </w:rPr>
        <w:t>市工信部门要按照省工业和信息化厅公布的我省食盐定点生产和批发企业名单，对行政辖区内食盐定点生产企业和食盐定点批发企业资质实行动态管理，对不能持续符合《食盐定点生产企业和食盐定点批发企业规范条件》要求的坚决整改，特别是对食盐定点生产企业未按规定要求保存生</w:t>
      </w:r>
      <w:r>
        <w:rPr>
          <w:rFonts w:ascii="仿宋" w:eastAsia="仿宋" w:hAnsi="仿宋" w:cs="仿宋" w:hint="eastAsia"/>
          <w:color w:val="070707"/>
          <w:sz w:val="32"/>
          <w:szCs w:val="32"/>
        </w:rPr>
        <w:lastRenderedPageBreak/>
        <w:t>产销售记录，食盐定点批发企业未按规定保存采购销售记录以及超出许可规定范围销售食盐等情节严重的，依据《食盐专营办法》给予处罚，情节特别严重的报省工业和</w:t>
      </w:r>
      <w:proofErr w:type="gramStart"/>
      <w:r>
        <w:rPr>
          <w:rFonts w:ascii="仿宋" w:eastAsia="仿宋" w:hAnsi="仿宋" w:cs="仿宋" w:hint="eastAsia"/>
          <w:color w:val="070707"/>
          <w:sz w:val="32"/>
          <w:szCs w:val="32"/>
        </w:rPr>
        <w:t>信息化厅经查实</w:t>
      </w:r>
      <w:proofErr w:type="gramEnd"/>
      <w:r>
        <w:rPr>
          <w:rFonts w:ascii="仿宋" w:eastAsia="仿宋" w:hAnsi="仿宋" w:cs="仿宋" w:hint="eastAsia"/>
          <w:color w:val="070707"/>
          <w:sz w:val="32"/>
          <w:szCs w:val="32"/>
        </w:rPr>
        <w:t>后依法吊销食盐定点企业证书。</w:t>
      </w:r>
    </w:p>
    <w:p w:rsidR="00041A90" w:rsidRDefault="006C0EE4" w:rsidP="0010638F">
      <w:pPr>
        <w:pStyle w:val="a7"/>
        <w:widowControl/>
        <w:spacing w:beforeAutospacing="0" w:afterAutospacing="0" w:line="560" w:lineRule="exact"/>
        <w:ind w:firstLineChars="200" w:firstLine="643"/>
        <w:rPr>
          <w:rFonts w:ascii="仿宋" w:eastAsia="仿宋" w:hAnsi="仿宋" w:cs="仿宋"/>
          <w:b/>
          <w:bCs/>
          <w:sz w:val="32"/>
          <w:szCs w:val="32"/>
        </w:rPr>
      </w:pPr>
      <w:r>
        <w:rPr>
          <w:rFonts w:ascii="仿宋" w:eastAsia="仿宋" w:hAnsi="仿宋" w:cs="仿宋" w:hint="eastAsia"/>
          <w:b/>
          <w:bCs/>
          <w:color w:val="070707"/>
          <w:sz w:val="32"/>
          <w:szCs w:val="32"/>
        </w:rPr>
        <w:t>三、规范食盐定点企业生产经营行为</w:t>
      </w:r>
    </w:p>
    <w:p w:rsidR="00041A90" w:rsidRDefault="006C0EE4">
      <w:pPr>
        <w:pStyle w:val="a7"/>
        <w:widowControl/>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70707"/>
          <w:sz w:val="32"/>
          <w:szCs w:val="32"/>
        </w:rPr>
        <w:t>省外取得食盐定点批发企业证书的食盐定点生产企业和省级食盐定点批发企业可通过与省内食盐定点批发企业合作、自建分公司或销售网点、委托第三方物流配送等方式，以本企业名义（获证名称）在山东省开展跨区域经营食盐业务，并于每季度结束后15日内将上一季度食盐销售情况告知山东省工业和信息化厅；</w:t>
      </w:r>
      <w:r>
        <w:rPr>
          <w:rFonts w:ascii="仿宋" w:eastAsia="仿宋" w:hAnsi="仿宋" w:cs="仿宋" w:hint="eastAsia"/>
          <w:color w:val="000000" w:themeColor="text1"/>
          <w:sz w:val="32"/>
          <w:szCs w:val="32"/>
        </w:rPr>
        <w:t>山东省食盐定点批发企业出省经营和在省内跨区经营的也应按要求报送相关销售信息（报送邮箱和格式详见附件）</w:t>
      </w:r>
      <w:r>
        <w:rPr>
          <w:rFonts w:ascii="仿宋" w:eastAsia="仿宋" w:hAnsi="仿宋" w:cs="仿宋" w:hint="eastAsia"/>
          <w:color w:val="070707"/>
          <w:sz w:val="32"/>
          <w:szCs w:val="32"/>
        </w:rPr>
        <w:t>。各市盐业主管理部门应及时督促辖区内跨省（区）经营食盐销售的企业及时报送信息；省盐业协会要每半</w:t>
      </w:r>
      <w:proofErr w:type="gramStart"/>
      <w:r>
        <w:rPr>
          <w:rFonts w:ascii="仿宋" w:eastAsia="仿宋" w:hAnsi="仿宋" w:cs="仿宋" w:hint="eastAsia"/>
          <w:color w:val="070707"/>
          <w:sz w:val="32"/>
          <w:szCs w:val="32"/>
        </w:rPr>
        <w:t>年结合</w:t>
      </w:r>
      <w:proofErr w:type="gramEnd"/>
      <w:r>
        <w:rPr>
          <w:rFonts w:ascii="仿宋" w:eastAsia="仿宋" w:hAnsi="仿宋" w:cs="仿宋" w:hint="eastAsia"/>
          <w:color w:val="070707"/>
          <w:sz w:val="32"/>
          <w:szCs w:val="32"/>
        </w:rPr>
        <w:t>数据分析省内食盐生产销售态势形成报告报省工业和信息化厅。</w:t>
      </w:r>
    </w:p>
    <w:p w:rsidR="00041A90" w:rsidRDefault="006C0EE4">
      <w:pPr>
        <w:pStyle w:val="a7"/>
        <w:widowControl/>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70707"/>
          <w:sz w:val="32"/>
          <w:szCs w:val="32"/>
        </w:rPr>
        <w:t>食盐定点生产企业不得和非食盐定点生产企业合作进行“贴牌”生产，不得在证书载明的生产地址之外生产加工食盐。</w:t>
      </w:r>
    </w:p>
    <w:p w:rsidR="00041A90" w:rsidRDefault="006C0EE4">
      <w:pPr>
        <w:pStyle w:val="a7"/>
        <w:widowControl/>
        <w:spacing w:beforeAutospacing="0" w:afterAutospacing="0" w:line="560" w:lineRule="exact"/>
        <w:ind w:firstLineChars="230" w:firstLine="736"/>
        <w:jc w:val="both"/>
        <w:rPr>
          <w:rFonts w:ascii="仿宋" w:eastAsia="仿宋" w:hAnsi="仿宋" w:cs="仿宋"/>
          <w:sz w:val="32"/>
          <w:szCs w:val="32"/>
        </w:rPr>
      </w:pPr>
      <w:r>
        <w:rPr>
          <w:rFonts w:ascii="仿宋" w:eastAsia="仿宋" w:hAnsi="仿宋" w:cs="仿宋" w:hint="eastAsia"/>
          <w:sz w:val="32"/>
          <w:szCs w:val="32"/>
        </w:rPr>
        <w:t>食盐定点生产企业和食盐定点批发企业应当落实生产销售全程记录制度，依照《食品安全法》的规定如实记录并保存进货查验、出厂检验、食盐销售等信息，并应按要求建立食盐电子追溯系统并有效运行，确保食盐可追溯。</w:t>
      </w:r>
    </w:p>
    <w:p w:rsidR="00041A90" w:rsidRDefault="006C0EE4">
      <w:pPr>
        <w:pStyle w:val="a7"/>
        <w:widowControl/>
        <w:spacing w:beforeAutospacing="0" w:afterAutospacing="0" w:line="560" w:lineRule="exact"/>
        <w:ind w:firstLineChars="230" w:firstLine="736"/>
        <w:jc w:val="both"/>
        <w:rPr>
          <w:rFonts w:ascii="仿宋" w:eastAsia="仿宋" w:hAnsi="仿宋" w:cs="仿宋"/>
          <w:sz w:val="32"/>
          <w:szCs w:val="32"/>
        </w:rPr>
      </w:pPr>
      <w:r>
        <w:rPr>
          <w:rFonts w:ascii="仿宋" w:eastAsia="仿宋" w:hAnsi="仿宋" w:cs="仿宋" w:hint="eastAsia"/>
          <w:sz w:val="32"/>
          <w:szCs w:val="32"/>
        </w:rPr>
        <w:lastRenderedPageBreak/>
        <w:t>食盐零售单位购进食盐时，应查验供货者食盐定点批发资质并保存合法有效凭证。食盐零售单位严禁销售散装食盐。</w:t>
      </w:r>
    </w:p>
    <w:p w:rsidR="00041A90" w:rsidRDefault="006C0EE4">
      <w:pPr>
        <w:pStyle w:val="a7"/>
        <w:widowControl/>
        <w:spacing w:beforeAutospacing="0" w:afterAutospacing="0" w:line="560" w:lineRule="exact"/>
        <w:ind w:firstLineChars="230" w:firstLine="736"/>
        <w:rPr>
          <w:rStyle w:val="10"/>
          <w:rFonts w:ascii="仿宋" w:eastAsia="仿宋" w:hAnsi="仿宋" w:cs="仿宋"/>
          <w:smallCaps w:val="0"/>
          <w:color w:val="000000"/>
          <w:sz w:val="32"/>
          <w:szCs w:val="32"/>
          <w14:textFill>
            <w14:solidFill>
              <w14:srgbClr w14:val="000000">
                <w14:lumMod w14:val="65000"/>
                <w14:lumOff w14:val="35000"/>
              </w14:srgbClr>
            </w14:solidFill>
          </w14:textFill>
        </w:rPr>
      </w:pPr>
      <w:r>
        <w:rPr>
          <w:rFonts w:ascii="仿宋" w:eastAsia="仿宋" w:hAnsi="仿宋" w:cs="仿宋" w:hint="eastAsia"/>
          <w:sz w:val="32"/>
          <w:szCs w:val="32"/>
        </w:rPr>
        <w:t>食盐的贮存、运输，应当符合食品安全的要求。</w:t>
      </w:r>
    </w:p>
    <w:p w:rsidR="00041A90" w:rsidRDefault="006C0EE4" w:rsidP="0010638F">
      <w:pPr>
        <w:pStyle w:val="a7"/>
        <w:widowControl/>
        <w:spacing w:beforeAutospacing="0" w:afterAutospacing="0"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四、规范食盐的供应管理</w:t>
      </w:r>
    </w:p>
    <w:p w:rsidR="00041A90" w:rsidRDefault="006C0EE4">
      <w:pPr>
        <w:pStyle w:val="a7"/>
        <w:widowControl/>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各级卫生健康部门要做好对重点地区、重点人群碘营养水平的监测工作；各级工信部门要依据食盐加碘有关法律法规，结合本辖区</w:t>
      </w:r>
      <w:proofErr w:type="gramStart"/>
      <w:r>
        <w:rPr>
          <w:rFonts w:ascii="仿宋" w:eastAsia="仿宋" w:hAnsi="仿宋" w:cs="仿宋" w:hint="eastAsia"/>
          <w:sz w:val="32"/>
          <w:szCs w:val="32"/>
        </w:rPr>
        <w:t>水碘情况</w:t>
      </w:r>
      <w:proofErr w:type="gramEnd"/>
      <w:r>
        <w:rPr>
          <w:rFonts w:ascii="仿宋" w:eastAsia="仿宋" w:hAnsi="仿宋" w:cs="仿宋" w:hint="eastAsia"/>
          <w:sz w:val="32"/>
          <w:szCs w:val="32"/>
        </w:rPr>
        <w:t>保证加碘食盐的供应，在缺碘地区</w:t>
      </w:r>
      <w:r>
        <w:rPr>
          <w:rFonts w:ascii="仿宋" w:eastAsia="仿宋" w:hAnsi="仿宋" w:cs="仿宋" w:hint="eastAsia"/>
          <w:color w:val="333333"/>
          <w:sz w:val="32"/>
          <w:szCs w:val="32"/>
        </w:rPr>
        <w:t>合格碘盐覆盖率</w:t>
      </w:r>
      <w:r>
        <w:rPr>
          <w:rFonts w:ascii="仿宋" w:eastAsia="仿宋" w:hAnsi="仿宋" w:cs="仿宋" w:hint="eastAsia"/>
          <w:sz w:val="32"/>
          <w:szCs w:val="32"/>
        </w:rPr>
        <w:t>要保证</w:t>
      </w:r>
      <w:r>
        <w:rPr>
          <w:rFonts w:ascii="仿宋" w:eastAsia="仿宋" w:hAnsi="仿宋" w:cs="仿宋" w:hint="eastAsia"/>
          <w:color w:val="333333"/>
          <w:sz w:val="32"/>
          <w:szCs w:val="32"/>
        </w:rPr>
        <w:t>90%以上</w:t>
      </w:r>
      <w:r>
        <w:rPr>
          <w:rFonts w:ascii="仿宋" w:eastAsia="仿宋" w:hAnsi="仿宋" w:cs="仿宋" w:hint="eastAsia"/>
          <w:sz w:val="32"/>
          <w:szCs w:val="32"/>
        </w:rPr>
        <w:t>。同时为满足特殊人群的需要，确保我省未加碘食盐质量安全，供应有序，未加碘食盐供应点应有明晰的标牌，提醒消费者遵照医嘱等购买食用未加碘食盐。在水源性高</w:t>
      </w:r>
      <w:proofErr w:type="gramStart"/>
      <w:r>
        <w:rPr>
          <w:rFonts w:ascii="仿宋" w:eastAsia="仿宋" w:hAnsi="仿宋" w:cs="仿宋" w:hint="eastAsia"/>
          <w:sz w:val="32"/>
          <w:szCs w:val="32"/>
        </w:rPr>
        <w:t>碘地区</w:t>
      </w:r>
      <w:proofErr w:type="gramEnd"/>
      <w:r>
        <w:rPr>
          <w:rFonts w:ascii="仿宋" w:eastAsia="仿宋" w:hAnsi="仿宋" w:cs="仿宋" w:hint="eastAsia"/>
          <w:sz w:val="32"/>
          <w:szCs w:val="32"/>
        </w:rPr>
        <w:t>销售的食盐，应当为未加碘食盐。</w:t>
      </w:r>
    </w:p>
    <w:p w:rsidR="00041A90" w:rsidRDefault="006C0EE4">
      <w:pPr>
        <w:pStyle w:val="a7"/>
        <w:widowControl/>
        <w:spacing w:beforeAutospacing="0" w:afterAutospacing="0" w:line="560" w:lineRule="exact"/>
        <w:ind w:firstLineChars="200" w:firstLine="640"/>
        <w:jc w:val="both"/>
        <w:rPr>
          <w:rFonts w:ascii="仿宋" w:eastAsia="仿宋" w:hAnsi="仿宋" w:cs="仿宋"/>
          <w:color w:val="070707"/>
          <w:sz w:val="32"/>
          <w:szCs w:val="32"/>
        </w:rPr>
      </w:pPr>
      <w:r>
        <w:rPr>
          <w:rFonts w:ascii="仿宋" w:eastAsia="仿宋" w:hAnsi="仿宋" w:cs="仿宋" w:hint="eastAsia"/>
          <w:sz w:val="32"/>
          <w:szCs w:val="32"/>
        </w:rPr>
        <w:t>食盐定点生产企业和食盐定点批发</w:t>
      </w:r>
      <w:r>
        <w:rPr>
          <w:rFonts w:ascii="仿宋" w:eastAsia="仿宋" w:hAnsi="仿宋" w:cs="仿宋" w:hint="eastAsia"/>
          <w:color w:val="070707"/>
          <w:sz w:val="32"/>
          <w:szCs w:val="32"/>
        </w:rPr>
        <w:t>企业要严格执行食盐碘含量相关国家标准，省内销售的加碘食盐碘含量应当符合我省的相关规定。</w:t>
      </w:r>
    </w:p>
    <w:p w:rsidR="00041A90" w:rsidRDefault="006C0EE4">
      <w:pPr>
        <w:pStyle w:val="a7"/>
        <w:widowControl/>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在碘缺乏地区，餐饮服务提供者以及学校、托幼机构、养老机构、建筑工地等集中用餐单位的食堂，应当使用加碘食盐。</w:t>
      </w:r>
    </w:p>
    <w:p w:rsidR="00041A90" w:rsidRDefault="006C0EE4" w:rsidP="0010638F">
      <w:pPr>
        <w:pStyle w:val="a7"/>
        <w:widowControl/>
        <w:spacing w:beforeAutospacing="0" w:afterAutospacing="0" w:line="560" w:lineRule="exact"/>
        <w:ind w:firstLineChars="200" w:firstLine="643"/>
        <w:jc w:val="both"/>
        <w:rPr>
          <w:rFonts w:ascii="仿宋" w:eastAsia="仿宋" w:hAnsi="仿宋" w:cs="仿宋"/>
          <w:b/>
          <w:bCs/>
          <w:sz w:val="32"/>
          <w:szCs w:val="32"/>
        </w:rPr>
      </w:pPr>
      <w:r>
        <w:rPr>
          <w:rFonts w:ascii="仿宋" w:eastAsia="仿宋" w:hAnsi="仿宋" w:cs="仿宋" w:hint="eastAsia"/>
          <w:b/>
          <w:bCs/>
          <w:color w:val="070707"/>
          <w:sz w:val="32"/>
          <w:szCs w:val="32"/>
        </w:rPr>
        <w:t>五、落实食盐储备和应急管理</w:t>
      </w:r>
    </w:p>
    <w:p w:rsidR="00041A90" w:rsidRDefault="006C0EE4">
      <w:pPr>
        <w:pStyle w:val="a7"/>
        <w:widowControl/>
        <w:spacing w:beforeAutospacing="0" w:afterAutospacing="0" w:line="560" w:lineRule="exact"/>
        <w:ind w:firstLineChars="200" w:firstLine="640"/>
        <w:jc w:val="both"/>
        <w:rPr>
          <w:rFonts w:ascii="仿宋" w:eastAsia="仿宋" w:hAnsi="仿宋" w:cs="仿宋"/>
          <w:color w:val="00B0F0"/>
          <w:sz w:val="32"/>
          <w:szCs w:val="32"/>
        </w:rPr>
      </w:pPr>
      <w:r>
        <w:rPr>
          <w:rFonts w:ascii="仿宋" w:eastAsia="仿宋" w:hAnsi="仿宋" w:cs="仿宋" w:hint="eastAsia"/>
          <w:color w:val="070707"/>
          <w:sz w:val="32"/>
          <w:szCs w:val="32"/>
        </w:rPr>
        <w:t>在省级建立食盐储备的框架下，各市县可结合各地实际建立各市县食盐政府储备。</w:t>
      </w:r>
      <w:proofErr w:type="gramStart"/>
      <w:r>
        <w:rPr>
          <w:rFonts w:ascii="仿宋" w:eastAsia="仿宋" w:hAnsi="仿宋" w:cs="仿宋" w:hint="eastAsia"/>
          <w:color w:val="070707"/>
          <w:sz w:val="32"/>
          <w:szCs w:val="32"/>
        </w:rPr>
        <w:t>市县工</w:t>
      </w:r>
      <w:proofErr w:type="gramEnd"/>
      <w:r>
        <w:rPr>
          <w:rFonts w:ascii="仿宋" w:eastAsia="仿宋" w:hAnsi="仿宋" w:cs="仿宋" w:hint="eastAsia"/>
          <w:color w:val="070707"/>
          <w:sz w:val="32"/>
          <w:szCs w:val="32"/>
        </w:rPr>
        <w:t>信部门要密切监测食盐市场动态，定期抽查企业食盐储备情况，特殊情况下会同价格</w:t>
      </w:r>
      <w:r>
        <w:rPr>
          <w:rFonts w:ascii="仿宋" w:eastAsia="仿宋" w:hAnsi="仿宋" w:cs="仿宋" w:hint="eastAsia"/>
          <w:color w:val="070707"/>
          <w:sz w:val="32"/>
          <w:szCs w:val="32"/>
        </w:rPr>
        <w:lastRenderedPageBreak/>
        <w:t>管理部门及时采取投放</w:t>
      </w:r>
      <w:r>
        <w:rPr>
          <w:rFonts w:ascii="仿宋" w:eastAsia="仿宋" w:hAnsi="仿宋" w:cs="仿宋" w:hint="eastAsia"/>
          <w:sz w:val="32"/>
          <w:szCs w:val="32"/>
        </w:rPr>
        <w:t>食盐储备、临时价格干预等措施，保持食盐价格基本稳定。</w:t>
      </w:r>
    </w:p>
    <w:p w:rsidR="00041A90" w:rsidRDefault="006C0EE4">
      <w:pPr>
        <w:pStyle w:val="a7"/>
        <w:widowControl/>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食盐定点生产企业和食盐定点批发企业应当建立食盐社会责任储备、轮储、贮存、出库管理制度，保持合理库存，食盐储备量应有详细的食盐社会责任储备库存记录。</w:t>
      </w:r>
    </w:p>
    <w:p w:rsidR="00041A90" w:rsidRDefault="006C0EE4">
      <w:pPr>
        <w:pStyle w:val="a7"/>
        <w:widowControl/>
        <w:spacing w:beforeAutospacing="0" w:afterAutospacing="0" w:line="560" w:lineRule="exact"/>
        <w:ind w:firstLineChars="200" w:firstLine="640"/>
        <w:jc w:val="both"/>
        <w:rPr>
          <w:rFonts w:ascii="仿宋" w:eastAsia="仿宋" w:hAnsi="仿宋" w:cs="仿宋"/>
          <w:sz w:val="32"/>
          <w:szCs w:val="32"/>
        </w:rPr>
      </w:pPr>
      <w:proofErr w:type="gramStart"/>
      <w:r>
        <w:rPr>
          <w:rFonts w:ascii="仿宋" w:eastAsia="仿宋" w:hAnsi="仿宋" w:cs="仿宋" w:hint="eastAsia"/>
          <w:color w:val="070707"/>
          <w:sz w:val="32"/>
          <w:szCs w:val="32"/>
        </w:rPr>
        <w:t>市县工</w:t>
      </w:r>
      <w:proofErr w:type="gramEnd"/>
      <w:r>
        <w:rPr>
          <w:rFonts w:ascii="仿宋" w:eastAsia="仿宋" w:hAnsi="仿宋" w:cs="仿宋" w:hint="eastAsia"/>
          <w:color w:val="070707"/>
          <w:sz w:val="32"/>
          <w:szCs w:val="32"/>
        </w:rPr>
        <w:t>信部门应当参照《山东省省级食盐储备管理办法》和《山东省食盐供应应急预案》要求，制定本地区的食盐供应应急预案，明确应急食盐供应投放点，确保在发生突发事件时协调、保障食盐供应。</w:t>
      </w:r>
    </w:p>
    <w:p w:rsidR="00041A90" w:rsidRDefault="006C0EE4" w:rsidP="0010638F">
      <w:pPr>
        <w:pStyle w:val="a7"/>
        <w:widowControl/>
        <w:spacing w:beforeAutospacing="0" w:afterAutospacing="0" w:line="560" w:lineRule="exact"/>
        <w:ind w:firstLineChars="200" w:firstLine="643"/>
        <w:jc w:val="both"/>
        <w:rPr>
          <w:rFonts w:ascii="仿宋" w:eastAsia="仿宋" w:hAnsi="仿宋" w:cs="仿宋"/>
          <w:b/>
          <w:bCs/>
          <w:sz w:val="32"/>
          <w:szCs w:val="32"/>
        </w:rPr>
      </w:pPr>
      <w:r>
        <w:rPr>
          <w:rFonts w:ascii="仿宋" w:eastAsia="仿宋" w:hAnsi="仿宋" w:cs="仿宋" w:hint="eastAsia"/>
          <w:b/>
          <w:bCs/>
          <w:color w:val="070707"/>
          <w:sz w:val="32"/>
          <w:szCs w:val="32"/>
        </w:rPr>
        <w:t>六、规范食盐电子商务</w:t>
      </w:r>
    </w:p>
    <w:p w:rsidR="00041A90" w:rsidRDefault="006C0EE4">
      <w:pPr>
        <w:pStyle w:val="a7"/>
        <w:widowControl/>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70707"/>
          <w:sz w:val="32"/>
          <w:szCs w:val="32"/>
        </w:rPr>
        <w:t>省工业和信息化厅会同相关部门加强食盐电子商务管理。无食盐定点批发企业证书的企业和个人不得开展食盐电子商务。电子商务平台经营者应当对销售主体查验相关定点批发资质，督促其在经营活动主页</w:t>
      </w:r>
      <w:proofErr w:type="gramStart"/>
      <w:r>
        <w:rPr>
          <w:rFonts w:ascii="仿宋" w:eastAsia="仿宋" w:hAnsi="仿宋" w:cs="仿宋" w:hint="eastAsia"/>
          <w:color w:val="070707"/>
          <w:sz w:val="32"/>
          <w:szCs w:val="32"/>
        </w:rPr>
        <w:t>面显著</w:t>
      </w:r>
      <w:proofErr w:type="gramEnd"/>
      <w:r>
        <w:rPr>
          <w:rFonts w:ascii="仿宋" w:eastAsia="仿宋" w:hAnsi="仿宋" w:cs="仿宋" w:hint="eastAsia"/>
          <w:color w:val="070707"/>
          <w:sz w:val="32"/>
          <w:szCs w:val="32"/>
        </w:rPr>
        <w:t>位置公示食盐定点批发企业证</w:t>
      </w:r>
      <w:r>
        <w:rPr>
          <w:rFonts w:ascii="仿宋" w:eastAsia="仿宋" w:hAnsi="仿宋" w:cs="仿宋" w:hint="eastAsia"/>
          <w:sz w:val="32"/>
          <w:szCs w:val="32"/>
        </w:rPr>
        <w:t>书</w:t>
      </w:r>
      <w:r>
        <w:rPr>
          <w:rFonts w:ascii="仿宋" w:eastAsia="仿宋" w:hAnsi="仿宋" w:cs="仿宋" w:hint="eastAsia"/>
          <w:color w:val="000000" w:themeColor="text1"/>
          <w:sz w:val="32"/>
          <w:szCs w:val="32"/>
        </w:rPr>
        <w:t>，</w:t>
      </w:r>
      <w:r>
        <w:rPr>
          <w:rFonts w:ascii="仿宋" w:eastAsia="仿宋" w:hAnsi="仿宋" w:cs="仿宋" w:hint="eastAsia"/>
          <w:color w:val="070707"/>
          <w:sz w:val="32"/>
          <w:szCs w:val="32"/>
        </w:rPr>
        <w:t>发现其平台上的食盐销售主体无食盐定点批发资质，应当立即停止为其提供服务。</w:t>
      </w:r>
    </w:p>
    <w:p w:rsidR="00041A90" w:rsidRDefault="006C0EE4" w:rsidP="0010638F">
      <w:pPr>
        <w:pStyle w:val="a7"/>
        <w:widowControl/>
        <w:spacing w:beforeAutospacing="0" w:afterAutospacing="0" w:line="560" w:lineRule="exact"/>
        <w:ind w:firstLineChars="200" w:firstLine="643"/>
        <w:jc w:val="both"/>
        <w:rPr>
          <w:rFonts w:ascii="仿宋" w:eastAsia="仿宋" w:hAnsi="仿宋" w:cs="仿宋"/>
          <w:b/>
          <w:bCs/>
          <w:sz w:val="32"/>
          <w:szCs w:val="32"/>
        </w:rPr>
      </w:pPr>
      <w:r>
        <w:rPr>
          <w:rFonts w:ascii="仿宋" w:eastAsia="仿宋" w:hAnsi="仿宋" w:cs="仿宋" w:hint="eastAsia"/>
          <w:b/>
          <w:bCs/>
          <w:color w:val="070707"/>
          <w:sz w:val="32"/>
          <w:szCs w:val="32"/>
        </w:rPr>
        <w:t>七、加大食盐相关政策宣传力度</w:t>
      </w:r>
    </w:p>
    <w:p w:rsidR="00041A90" w:rsidRDefault="006C0EE4">
      <w:pPr>
        <w:pStyle w:val="a7"/>
        <w:widowControl/>
        <w:spacing w:beforeAutospacing="0" w:afterAutospacing="0" w:line="560" w:lineRule="exact"/>
        <w:ind w:firstLineChars="200" w:firstLine="640"/>
        <w:jc w:val="both"/>
        <w:rPr>
          <w:rFonts w:ascii="仿宋" w:eastAsia="仿宋" w:hAnsi="仿宋" w:cs="仿宋"/>
          <w:color w:val="070707"/>
          <w:sz w:val="32"/>
          <w:szCs w:val="32"/>
        </w:rPr>
      </w:pPr>
      <w:r>
        <w:rPr>
          <w:rFonts w:ascii="仿宋" w:eastAsia="仿宋" w:hAnsi="仿宋" w:cs="仿宋" w:hint="eastAsia"/>
          <w:color w:val="070707"/>
          <w:sz w:val="32"/>
          <w:szCs w:val="32"/>
        </w:rPr>
        <w:t>各级工信部门、卫生健康部门要会同相关部门配合利用广播电视、报纸杂志、门户网站及微信、微博、APP等新媒体手段加大食盐安全公益、科普宣传力度，及时发布食盐安全警示，切实保护消费者权益。开展食盐消费、科学补碘及减</w:t>
      </w:r>
      <w:proofErr w:type="gramStart"/>
      <w:r>
        <w:rPr>
          <w:rFonts w:ascii="仿宋" w:eastAsia="仿宋" w:hAnsi="仿宋" w:cs="仿宋" w:hint="eastAsia"/>
          <w:color w:val="070707"/>
          <w:sz w:val="32"/>
          <w:szCs w:val="32"/>
        </w:rPr>
        <w:t>盐知识</w:t>
      </w:r>
      <w:proofErr w:type="gramEnd"/>
      <w:r>
        <w:rPr>
          <w:rFonts w:ascii="仿宋" w:eastAsia="仿宋" w:hAnsi="仿宋" w:cs="仿宋" w:hint="eastAsia"/>
          <w:color w:val="070707"/>
          <w:sz w:val="32"/>
          <w:szCs w:val="32"/>
        </w:rPr>
        <w:t>宣传，广泛动员社会力量参与食盐安全监督，确保食盐消费安全及社会稳定。</w:t>
      </w:r>
    </w:p>
    <w:p w:rsidR="00041A90" w:rsidRDefault="006C0EE4">
      <w:pPr>
        <w:pStyle w:val="a7"/>
        <w:widowControl/>
        <w:spacing w:beforeAutospacing="0" w:afterAutospacing="0" w:line="560" w:lineRule="exact"/>
        <w:ind w:firstLine="420"/>
        <w:jc w:val="both"/>
        <w:rPr>
          <w:rFonts w:ascii="仿宋" w:eastAsia="仿宋" w:hAnsi="仿宋" w:cs="仿宋"/>
          <w:color w:val="070707"/>
          <w:sz w:val="32"/>
          <w:szCs w:val="32"/>
        </w:rPr>
      </w:pPr>
      <w:r>
        <w:rPr>
          <w:rFonts w:ascii="仿宋" w:eastAsia="仿宋" w:hAnsi="仿宋" w:cs="仿宋" w:hint="eastAsia"/>
          <w:b/>
          <w:bCs/>
          <w:color w:val="070707"/>
          <w:sz w:val="32"/>
          <w:szCs w:val="32"/>
        </w:rPr>
        <w:lastRenderedPageBreak/>
        <w:t>八、</w:t>
      </w:r>
      <w:r>
        <w:rPr>
          <w:rFonts w:ascii="仿宋" w:eastAsia="仿宋" w:hAnsi="仿宋" w:cs="仿宋" w:hint="eastAsia"/>
          <w:sz w:val="32"/>
          <w:szCs w:val="32"/>
        </w:rPr>
        <w:t>本通知有效期自2020年7月3日起，至2025年7月2日止。</w:t>
      </w:r>
    </w:p>
    <w:p w:rsidR="00041A90" w:rsidRDefault="00041A90">
      <w:pPr>
        <w:pStyle w:val="a7"/>
        <w:widowControl/>
        <w:spacing w:beforeAutospacing="0" w:afterAutospacing="0" w:line="560" w:lineRule="exact"/>
        <w:ind w:firstLineChars="200" w:firstLine="640"/>
        <w:jc w:val="both"/>
        <w:rPr>
          <w:rFonts w:ascii="仿宋" w:eastAsia="仿宋" w:hAnsi="仿宋" w:cs="仿宋"/>
          <w:color w:val="070707"/>
          <w:sz w:val="32"/>
          <w:szCs w:val="32"/>
        </w:rPr>
      </w:pPr>
    </w:p>
    <w:p w:rsidR="00041A90" w:rsidRDefault="006C0EE4">
      <w:pPr>
        <w:pStyle w:val="a7"/>
        <w:widowControl/>
        <w:spacing w:beforeAutospacing="0" w:afterAutospacing="0" w:line="560" w:lineRule="exact"/>
        <w:ind w:firstLineChars="200" w:firstLine="640"/>
        <w:jc w:val="both"/>
        <w:rPr>
          <w:rFonts w:ascii="仿宋" w:eastAsia="仿宋" w:hAnsi="仿宋" w:cs="仿宋"/>
          <w:color w:val="070707"/>
          <w:sz w:val="32"/>
          <w:szCs w:val="32"/>
        </w:rPr>
      </w:pPr>
      <w:r>
        <w:rPr>
          <w:rFonts w:ascii="仿宋" w:eastAsia="仿宋" w:hAnsi="仿宋" w:cs="仿宋" w:hint="eastAsia"/>
          <w:color w:val="070707"/>
          <w:sz w:val="32"/>
          <w:szCs w:val="32"/>
        </w:rPr>
        <w:t>附件</w:t>
      </w:r>
      <w:r w:rsidRPr="00E73EDB">
        <w:rPr>
          <w:rFonts w:ascii="仿宋" w:eastAsia="仿宋" w:hAnsi="仿宋" w:cs="仿宋" w:hint="eastAsia"/>
          <w:color w:val="070707"/>
          <w:sz w:val="32"/>
          <w:szCs w:val="32"/>
          <w:highlight w:val="yellow"/>
        </w:rPr>
        <w:t>：</w:t>
      </w:r>
      <w:r w:rsidRPr="00E73EDB">
        <w:rPr>
          <w:rFonts w:ascii="仿宋" w:eastAsia="仿宋" w:hAnsi="仿宋" w:cs="仿宋" w:hint="eastAsia"/>
          <w:sz w:val="32"/>
          <w:szCs w:val="32"/>
          <w:highlight w:val="yellow"/>
        </w:rPr>
        <w:t>跨省、区经营食盐销售情况备案表</w:t>
      </w:r>
    </w:p>
    <w:p w:rsidR="00041A90" w:rsidRDefault="006C0EE4">
      <w:pPr>
        <w:pStyle w:val="a7"/>
        <w:widowControl/>
        <w:spacing w:beforeAutospacing="0" w:afterAutospacing="0" w:line="560" w:lineRule="exact"/>
        <w:ind w:firstLine="420"/>
        <w:jc w:val="right"/>
        <w:rPr>
          <w:rFonts w:ascii="仿宋" w:eastAsia="仿宋" w:hAnsi="仿宋" w:cs="仿宋"/>
          <w:color w:val="070707"/>
          <w:sz w:val="32"/>
          <w:szCs w:val="32"/>
        </w:rPr>
      </w:pPr>
      <w:r>
        <w:rPr>
          <w:rFonts w:ascii="仿宋" w:eastAsia="仿宋" w:hAnsi="仿宋" w:cs="仿宋" w:hint="eastAsia"/>
          <w:color w:val="070707"/>
          <w:sz w:val="32"/>
          <w:szCs w:val="32"/>
        </w:rPr>
        <w:t xml:space="preserve">       </w:t>
      </w:r>
    </w:p>
    <w:p w:rsidR="00041A90" w:rsidRDefault="006C0EE4">
      <w:pPr>
        <w:pStyle w:val="a7"/>
        <w:widowControl/>
        <w:spacing w:beforeAutospacing="0" w:afterAutospacing="0" w:line="560" w:lineRule="exact"/>
        <w:ind w:firstLine="420"/>
        <w:jc w:val="right"/>
        <w:rPr>
          <w:rFonts w:ascii="仿宋" w:eastAsia="仿宋" w:hAnsi="仿宋" w:cs="仿宋"/>
          <w:color w:val="070707"/>
          <w:sz w:val="32"/>
          <w:szCs w:val="32"/>
        </w:rPr>
      </w:pPr>
      <w:r>
        <w:rPr>
          <w:rFonts w:ascii="仿宋" w:eastAsia="仿宋" w:hAnsi="仿宋" w:cs="仿宋" w:hint="eastAsia"/>
          <w:color w:val="070707"/>
          <w:sz w:val="32"/>
          <w:szCs w:val="32"/>
        </w:rPr>
        <w:t>山东省工业和信息化厅</w:t>
      </w:r>
    </w:p>
    <w:p w:rsidR="00041A90" w:rsidRDefault="006C0EE4">
      <w:pPr>
        <w:pStyle w:val="a7"/>
        <w:widowControl/>
        <w:spacing w:beforeAutospacing="0" w:afterAutospacing="0" w:line="560" w:lineRule="exact"/>
        <w:ind w:firstLine="420"/>
        <w:jc w:val="right"/>
        <w:rPr>
          <w:rFonts w:ascii="仿宋" w:eastAsia="仿宋" w:hAnsi="仿宋" w:cs="仿宋"/>
          <w:color w:val="070707"/>
          <w:sz w:val="32"/>
          <w:szCs w:val="32"/>
        </w:rPr>
      </w:pPr>
      <w:r>
        <w:rPr>
          <w:rFonts w:ascii="仿宋" w:eastAsia="仿宋" w:hAnsi="仿宋" w:cs="仿宋"/>
          <w:color w:val="070707"/>
          <w:sz w:val="32"/>
          <w:szCs w:val="32"/>
        </w:rPr>
        <w:t>山东省发展和改革委员会</w:t>
      </w:r>
    </w:p>
    <w:p w:rsidR="00041A90" w:rsidRDefault="006C0EE4">
      <w:pPr>
        <w:pStyle w:val="a7"/>
        <w:widowControl/>
        <w:spacing w:beforeAutospacing="0" w:afterAutospacing="0" w:line="560" w:lineRule="exact"/>
        <w:ind w:firstLine="420"/>
        <w:jc w:val="right"/>
        <w:rPr>
          <w:rFonts w:ascii="仿宋" w:eastAsia="仿宋" w:hAnsi="仿宋" w:cs="仿宋"/>
          <w:color w:val="070707"/>
          <w:sz w:val="32"/>
          <w:szCs w:val="32"/>
        </w:rPr>
      </w:pPr>
      <w:r>
        <w:rPr>
          <w:rFonts w:ascii="仿宋" w:eastAsia="仿宋" w:hAnsi="仿宋" w:cs="仿宋"/>
          <w:color w:val="070707"/>
          <w:sz w:val="32"/>
          <w:szCs w:val="32"/>
        </w:rPr>
        <w:t>山东省公安厅</w:t>
      </w:r>
    </w:p>
    <w:p w:rsidR="00041A90" w:rsidRDefault="006C0EE4">
      <w:pPr>
        <w:pStyle w:val="a7"/>
        <w:widowControl/>
        <w:spacing w:beforeAutospacing="0" w:afterAutospacing="0" w:line="560" w:lineRule="exact"/>
        <w:ind w:firstLine="420"/>
        <w:jc w:val="right"/>
        <w:rPr>
          <w:rFonts w:ascii="仿宋" w:eastAsia="仿宋" w:hAnsi="仿宋" w:cs="仿宋"/>
          <w:color w:val="070707"/>
          <w:sz w:val="32"/>
          <w:szCs w:val="32"/>
        </w:rPr>
      </w:pPr>
      <w:r>
        <w:rPr>
          <w:rFonts w:ascii="仿宋" w:eastAsia="仿宋" w:hAnsi="仿宋" w:cs="仿宋" w:hint="eastAsia"/>
          <w:color w:val="070707"/>
          <w:sz w:val="32"/>
          <w:szCs w:val="32"/>
        </w:rPr>
        <w:t>山东省卫生健康委员会</w:t>
      </w:r>
    </w:p>
    <w:p w:rsidR="00041A90" w:rsidRDefault="006C0EE4">
      <w:pPr>
        <w:pStyle w:val="a7"/>
        <w:widowControl/>
        <w:spacing w:line="560" w:lineRule="exact"/>
        <w:ind w:firstLine="420"/>
        <w:jc w:val="right"/>
        <w:rPr>
          <w:rFonts w:ascii="仿宋" w:eastAsia="仿宋" w:hAnsi="仿宋" w:cs="仿宋"/>
          <w:color w:val="070707"/>
          <w:sz w:val="32"/>
          <w:szCs w:val="32"/>
        </w:rPr>
      </w:pPr>
      <w:r>
        <w:rPr>
          <w:rFonts w:ascii="宋体" w:eastAsia="宋体" w:hAnsi="宋体" w:cs="宋体" w:hint="eastAsia"/>
          <w:color w:val="070707"/>
          <w:sz w:val="32"/>
          <w:szCs w:val="32"/>
        </w:rPr>
        <w:t>                </w:t>
      </w:r>
      <w:r>
        <w:rPr>
          <w:rFonts w:ascii="仿宋" w:eastAsia="仿宋" w:hAnsi="仿宋" w:cs="仿宋" w:hint="eastAsia"/>
          <w:color w:val="070707"/>
          <w:sz w:val="32"/>
          <w:szCs w:val="32"/>
        </w:rPr>
        <w:t>2020年7月3日</w:t>
      </w:r>
    </w:p>
    <w:p w:rsidR="00041A90" w:rsidRDefault="00041A90">
      <w:pPr>
        <w:pStyle w:val="a7"/>
        <w:widowControl/>
        <w:spacing w:before="100" w:after="100" w:line="560" w:lineRule="exact"/>
        <w:ind w:firstLine="420"/>
        <w:rPr>
          <w:sz w:val="32"/>
          <w:szCs w:val="32"/>
        </w:rPr>
        <w:sectPr w:rsidR="00041A90">
          <w:footerReference w:type="default" r:id="rId9"/>
          <w:pgSz w:w="11906" w:h="16838"/>
          <w:pgMar w:top="1440" w:right="1797" w:bottom="1440" w:left="1797" w:header="851" w:footer="992" w:gutter="0"/>
          <w:cols w:space="425"/>
          <w:docGrid w:type="linesAndChars" w:linePitch="312"/>
        </w:sectPr>
      </w:pPr>
    </w:p>
    <w:p w:rsidR="00041A90" w:rsidRDefault="006C0EE4">
      <w:pPr>
        <w:jc w:val="left"/>
        <w:rPr>
          <w:sz w:val="44"/>
          <w:szCs w:val="44"/>
        </w:rPr>
      </w:pPr>
      <w:r>
        <w:rPr>
          <w:rFonts w:hint="eastAsia"/>
          <w:sz w:val="44"/>
          <w:szCs w:val="44"/>
        </w:rPr>
        <w:lastRenderedPageBreak/>
        <w:t>附件</w:t>
      </w:r>
    </w:p>
    <w:p w:rsidR="00041A90" w:rsidRDefault="006C0EE4">
      <w:pPr>
        <w:jc w:val="center"/>
        <w:rPr>
          <w:sz w:val="44"/>
          <w:szCs w:val="44"/>
        </w:rPr>
      </w:pPr>
      <w:r>
        <w:rPr>
          <w:rFonts w:hint="eastAsia"/>
          <w:sz w:val="44"/>
          <w:szCs w:val="44"/>
        </w:rPr>
        <w:t>跨省、区经营食盐销售情况备案表</w:t>
      </w:r>
    </w:p>
    <w:p w:rsidR="00041A90" w:rsidRDefault="006C0EE4">
      <w:pPr>
        <w:jc w:val="center"/>
        <w:rPr>
          <w:rFonts w:ascii="仿宋_GB2312" w:eastAsia="仿宋_GB2312"/>
          <w:sz w:val="32"/>
          <w:szCs w:val="32"/>
        </w:rPr>
      </w:pPr>
      <w:r>
        <w:rPr>
          <w:rFonts w:hint="eastAsia"/>
          <w:sz w:val="32"/>
          <w:szCs w:val="32"/>
        </w:rPr>
        <w:t>报送单位（签章）</w:t>
      </w:r>
      <w:r>
        <w:rPr>
          <w:rFonts w:hint="eastAsia"/>
          <w:sz w:val="44"/>
          <w:szCs w:val="44"/>
        </w:rPr>
        <w:t>：</w:t>
      </w:r>
      <w:r>
        <w:rPr>
          <w:rFonts w:hint="eastAsia"/>
          <w:sz w:val="44"/>
          <w:szCs w:val="44"/>
        </w:rPr>
        <w:t xml:space="preserve">                               </w:t>
      </w:r>
      <w:r>
        <w:rPr>
          <w:rFonts w:ascii="仿宋_GB2312" w:eastAsia="仿宋_GB2312" w:hint="eastAsia"/>
          <w:sz w:val="32"/>
          <w:szCs w:val="32"/>
        </w:rPr>
        <w:t xml:space="preserve">年  月  日  </w:t>
      </w:r>
      <w:r w:rsidR="00E002A9" w:rsidRPr="00E73EDB">
        <w:rPr>
          <w:rFonts w:ascii="仿宋_GB2312" w:eastAsia="仿宋_GB2312"/>
          <w:sz w:val="32"/>
          <w:szCs w:val="32"/>
          <w:highlight w:val="yellow"/>
        </w:rPr>
        <w:t>—</w:t>
      </w:r>
      <w:r>
        <w:rPr>
          <w:rFonts w:ascii="仿宋_GB2312" w:eastAsia="仿宋_GB2312" w:hint="eastAsia"/>
          <w:sz w:val="32"/>
          <w:szCs w:val="32"/>
        </w:rPr>
        <w:t xml:space="preserve">  年  月  日</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642"/>
        <w:gridCol w:w="2805"/>
        <w:gridCol w:w="2325"/>
        <w:gridCol w:w="1875"/>
        <w:gridCol w:w="2355"/>
        <w:gridCol w:w="1755"/>
      </w:tblGrid>
      <w:tr w:rsidR="00041A90">
        <w:tc>
          <w:tcPr>
            <w:tcW w:w="2093" w:type="dxa"/>
            <w:vAlign w:val="center"/>
          </w:tcPr>
          <w:p w:rsidR="00041A90" w:rsidRDefault="006C0EE4">
            <w:pPr>
              <w:jc w:val="center"/>
              <w:rPr>
                <w:rFonts w:ascii="仿宋" w:eastAsia="仿宋" w:hAnsi="仿宋"/>
                <w:sz w:val="30"/>
                <w:szCs w:val="30"/>
              </w:rPr>
            </w:pPr>
            <w:r>
              <w:rPr>
                <w:rFonts w:ascii="仿宋" w:eastAsia="仿宋" w:hAnsi="仿宋" w:hint="eastAsia"/>
                <w:sz w:val="30"/>
                <w:szCs w:val="30"/>
              </w:rPr>
              <w:t>企业名称</w:t>
            </w:r>
          </w:p>
        </w:tc>
        <w:tc>
          <w:tcPr>
            <w:tcW w:w="4447" w:type="dxa"/>
            <w:gridSpan w:val="2"/>
            <w:vAlign w:val="center"/>
          </w:tcPr>
          <w:p w:rsidR="00041A90" w:rsidRDefault="00041A90">
            <w:pPr>
              <w:jc w:val="center"/>
              <w:rPr>
                <w:rFonts w:ascii="仿宋" w:eastAsia="仿宋" w:hAnsi="仿宋"/>
                <w:sz w:val="30"/>
                <w:szCs w:val="30"/>
              </w:rPr>
            </w:pPr>
          </w:p>
        </w:tc>
        <w:tc>
          <w:tcPr>
            <w:tcW w:w="2325" w:type="dxa"/>
            <w:vAlign w:val="center"/>
          </w:tcPr>
          <w:p w:rsidR="00041A90" w:rsidRDefault="006C0EE4">
            <w:pPr>
              <w:jc w:val="center"/>
              <w:rPr>
                <w:rFonts w:ascii="仿宋" w:eastAsia="仿宋" w:hAnsi="仿宋"/>
                <w:sz w:val="30"/>
                <w:szCs w:val="30"/>
              </w:rPr>
            </w:pPr>
            <w:r>
              <w:rPr>
                <w:rFonts w:ascii="仿宋" w:eastAsia="仿宋" w:hAnsi="仿宋" w:hint="eastAsia"/>
                <w:sz w:val="30"/>
                <w:szCs w:val="30"/>
              </w:rPr>
              <w:t>法定代表人</w:t>
            </w:r>
          </w:p>
        </w:tc>
        <w:tc>
          <w:tcPr>
            <w:tcW w:w="1875" w:type="dxa"/>
            <w:vAlign w:val="center"/>
          </w:tcPr>
          <w:p w:rsidR="00041A90" w:rsidRDefault="00041A90">
            <w:pPr>
              <w:jc w:val="center"/>
              <w:rPr>
                <w:rFonts w:ascii="仿宋" w:eastAsia="仿宋" w:hAnsi="仿宋"/>
                <w:sz w:val="30"/>
                <w:szCs w:val="30"/>
              </w:rPr>
            </w:pPr>
          </w:p>
        </w:tc>
        <w:tc>
          <w:tcPr>
            <w:tcW w:w="2355" w:type="dxa"/>
            <w:vAlign w:val="center"/>
          </w:tcPr>
          <w:p w:rsidR="00041A90" w:rsidRDefault="006C0EE4">
            <w:pPr>
              <w:jc w:val="center"/>
              <w:rPr>
                <w:rFonts w:ascii="仿宋" w:eastAsia="仿宋" w:hAnsi="仿宋"/>
                <w:sz w:val="30"/>
                <w:szCs w:val="30"/>
              </w:rPr>
            </w:pPr>
            <w:r>
              <w:rPr>
                <w:rFonts w:ascii="仿宋" w:eastAsia="仿宋" w:hAnsi="仿宋" w:hint="eastAsia"/>
                <w:sz w:val="30"/>
                <w:szCs w:val="30"/>
              </w:rPr>
              <w:t>联系电话</w:t>
            </w:r>
          </w:p>
        </w:tc>
        <w:tc>
          <w:tcPr>
            <w:tcW w:w="1755" w:type="dxa"/>
            <w:vAlign w:val="center"/>
          </w:tcPr>
          <w:p w:rsidR="00041A90" w:rsidRDefault="00041A90">
            <w:pPr>
              <w:jc w:val="center"/>
              <w:rPr>
                <w:rFonts w:ascii="仿宋" w:eastAsia="仿宋" w:hAnsi="仿宋"/>
                <w:sz w:val="30"/>
                <w:szCs w:val="30"/>
              </w:rPr>
            </w:pPr>
          </w:p>
        </w:tc>
      </w:tr>
      <w:tr w:rsidR="00041A90">
        <w:tc>
          <w:tcPr>
            <w:tcW w:w="2093" w:type="dxa"/>
            <w:vAlign w:val="center"/>
          </w:tcPr>
          <w:p w:rsidR="00041A90" w:rsidRDefault="006C0EE4">
            <w:pPr>
              <w:jc w:val="center"/>
              <w:rPr>
                <w:rFonts w:ascii="仿宋" w:eastAsia="仿宋" w:hAnsi="仿宋"/>
                <w:sz w:val="30"/>
                <w:szCs w:val="30"/>
              </w:rPr>
            </w:pPr>
            <w:r>
              <w:rPr>
                <w:rFonts w:ascii="仿宋" w:eastAsia="仿宋" w:hAnsi="仿宋" w:hint="eastAsia"/>
                <w:sz w:val="30"/>
                <w:szCs w:val="30"/>
              </w:rPr>
              <w:t>注册地址</w:t>
            </w:r>
          </w:p>
        </w:tc>
        <w:tc>
          <w:tcPr>
            <w:tcW w:w="4447" w:type="dxa"/>
            <w:gridSpan w:val="2"/>
            <w:vAlign w:val="center"/>
          </w:tcPr>
          <w:p w:rsidR="00041A90" w:rsidRDefault="00041A90">
            <w:pPr>
              <w:jc w:val="center"/>
              <w:rPr>
                <w:rFonts w:ascii="仿宋" w:eastAsia="仿宋" w:hAnsi="仿宋"/>
                <w:sz w:val="30"/>
                <w:szCs w:val="30"/>
              </w:rPr>
            </w:pPr>
          </w:p>
        </w:tc>
        <w:tc>
          <w:tcPr>
            <w:tcW w:w="2325" w:type="dxa"/>
            <w:vAlign w:val="center"/>
          </w:tcPr>
          <w:p w:rsidR="00041A90" w:rsidRDefault="006C0EE4">
            <w:pPr>
              <w:jc w:val="center"/>
              <w:rPr>
                <w:rFonts w:ascii="仿宋" w:eastAsia="仿宋" w:hAnsi="仿宋"/>
                <w:sz w:val="30"/>
                <w:szCs w:val="30"/>
              </w:rPr>
            </w:pPr>
            <w:r>
              <w:rPr>
                <w:rFonts w:ascii="仿宋" w:eastAsia="仿宋" w:hAnsi="仿宋" w:hint="eastAsia"/>
                <w:sz w:val="30"/>
                <w:szCs w:val="30"/>
              </w:rPr>
              <w:t>生产许可证编号</w:t>
            </w:r>
          </w:p>
        </w:tc>
        <w:tc>
          <w:tcPr>
            <w:tcW w:w="1875" w:type="dxa"/>
            <w:vAlign w:val="center"/>
          </w:tcPr>
          <w:p w:rsidR="00041A90" w:rsidRDefault="00041A90">
            <w:pPr>
              <w:jc w:val="center"/>
              <w:rPr>
                <w:rFonts w:ascii="仿宋" w:eastAsia="仿宋" w:hAnsi="仿宋"/>
                <w:sz w:val="30"/>
                <w:szCs w:val="30"/>
              </w:rPr>
            </w:pPr>
          </w:p>
        </w:tc>
        <w:tc>
          <w:tcPr>
            <w:tcW w:w="2355" w:type="dxa"/>
          </w:tcPr>
          <w:p w:rsidR="00041A90" w:rsidRDefault="006C0EE4">
            <w:pPr>
              <w:jc w:val="center"/>
              <w:rPr>
                <w:rFonts w:ascii="仿宋" w:eastAsia="仿宋" w:hAnsi="仿宋"/>
                <w:sz w:val="30"/>
                <w:szCs w:val="30"/>
              </w:rPr>
            </w:pPr>
            <w:r>
              <w:rPr>
                <w:rFonts w:ascii="仿宋" w:eastAsia="仿宋" w:hAnsi="仿宋" w:hint="eastAsia"/>
                <w:sz w:val="30"/>
                <w:szCs w:val="30"/>
              </w:rPr>
              <w:t>批发许可证编号</w:t>
            </w:r>
          </w:p>
        </w:tc>
        <w:tc>
          <w:tcPr>
            <w:tcW w:w="1755" w:type="dxa"/>
          </w:tcPr>
          <w:p w:rsidR="00041A90" w:rsidRDefault="00041A90">
            <w:pPr>
              <w:jc w:val="center"/>
              <w:rPr>
                <w:rFonts w:ascii="仿宋" w:eastAsia="仿宋" w:hAnsi="仿宋"/>
                <w:sz w:val="30"/>
                <w:szCs w:val="30"/>
              </w:rPr>
            </w:pPr>
          </w:p>
        </w:tc>
      </w:tr>
      <w:tr w:rsidR="00041A90">
        <w:tc>
          <w:tcPr>
            <w:tcW w:w="2093" w:type="dxa"/>
            <w:vAlign w:val="center"/>
          </w:tcPr>
          <w:p w:rsidR="00041A90" w:rsidRDefault="006C0EE4">
            <w:pPr>
              <w:jc w:val="center"/>
              <w:rPr>
                <w:rFonts w:ascii="仿宋" w:eastAsia="仿宋" w:hAnsi="仿宋"/>
                <w:sz w:val="30"/>
                <w:szCs w:val="30"/>
              </w:rPr>
            </w:pPr>
            <w:r>
              <w:rPr>
                <w:rFonts w:ascii="仿宋" w:eastAsia="仿宋" w:hAnsi="仿宋" w:hint="eastAsia"/>
                <w:sz w:val="30"/>
                <w:szCs w:val="30"/>
              </w:rPr>
              <w:t>生产经营地址</w:t>
            </w:r>
          </w:p>
        </w:tc>
        <w:tc>
          <w:tcPr>
            <w:tcW w:w="6772" w:type="dxa"/>
            <w:gridSpan w:val="3"/>
            <w:vAlign w:val="center"/>
          </w:tcPr>
          <w:p w:rsidR="00041A90" w:rsidRDefault="00041A90">
            <w:pPr>
              <w:jc w:val="center"/>
              <w:rPr>
                <w:rFonts w:ascii="仿宋" w:eastAsia="仿宋" w:hAnsi="仿宋"/>
                <w:sz w:val="30"/>
                <w:szCs w:val="30"/>
              </w:rPr>
            </w:pPr>
          </w:p>
        </w:tc>
        <w:tc>
          <w:tcPr>
            <w:tcW w:w="1875" w:type="dxa"/>
            <w:vAlign w:val="center"/>
          </w:tcPr>
          <w:p w:rsidR="00041A90" w:rsidRDefault="006C0EE4">
            <w:pPr>
              <w:jc w:val="center"/>
              <w:rPr>
                <w:rFonts w:ascii="仿宋" w:eastAsia="仿宋" w:hAnsi="仿宋"/>
                <w:sz w:val="30"/>
                <w:szCs w:val="30"/>
              </w:rPr>
            </w:pPr>
            <w:r>
              <w:rPr>
                <w:rFonts w:ascii="仿宋" w:eastAsia="仿宋" w:hAnsi="仿宋" w:hint="eastAsia"/>
                <w:sz w:val="30"/>
                <w:szCs w:val="30"/>
              </w:rPr>
              <w:t>发证机关</w:t>
            </w:r>
          </w:p>
        </w:tc>
        <w:tc>
          <w:tcPr>
            <w:tcW w:w="4110" w:type="dxa"/>
            <w:gridSpan w:val="2"/>
          </w:tcPr>
          <w:p w:rsidR="00041A90" w:rsidRDefault="00041A90">
            <w:pPr>
              <w:jc w:val="center"/>
              <w:rPr>
                <w:rFonts w:ascii="仿宋" w:eastAsia="仿宋" w:hAnsi="仿宋"/>
                <w:sz w:val="30"/>
                <w:szCs w:val="30"/>
              </w:rPr>
            </w:pPr>
          </w:p>
        </w:tc>
      </w:tr>
      <w:tr w:rsidR="00041A90">
        <w:tc>
          <w:tcPr>
            <w:tcW w:w="2093" w:type="dxa"/>
            <w:vAlign w:val="center"/>
          </w:tcPr>
          <w:p w:rsidR="00041A90" w:rsidRDefault="006C0EE4">
            <w:pPr>
              <w:jc w:val="center"/>
              <w:rPr>
                <w:rFonts w:ascii="仿宋" w:eastAsia="仿宋" w:hAnsi="仿宋"/>
                <w:sz w:val="30"/>
                <w:szCs w:val="30"/>
              </w:rPr>
            </w:pPr>
            <w:r>
              <w:rPr>
                <w:rFonts w:ascii="仿宋" w:eastAsia="仿宋" w:hAnsi="仿宋" w:hint="eastAsia"/>
                <w:sz w:val="30"/>
                <w:szCs w:val="30"/>
              </w:rPr>
              <w:t>营业执照代码</w:t>
            </w:r>
          </w:p>
        </w:tc>
        <w:tc>
          <w:tcPr>
            <w:tcW w:w="6772" w:type="dxa"/>
            <w:gridSpan w:val="3"/>
            <w:vAlign w:val="center"/>
          </w:tcPr>
          <w:p w:rsidR="00041A90" w:rsidRDefault="00041A90">
            <w:pPr>
              <w:jc w:val="center"/>
              <w:rPr>
                <w:rFonts w:ascii="仿宋" w:eastAsia="仿宋" w:hAnsi="仿宋"/>
                <w:sz w:val="30"/>
                <w:szCs w:val="30"/>
              </w:rPr>
            </w:pPr>
          </w:p>
        </w:tc>
        <w:tc>
          <w:tcPr>
            <w:tcW w:w="1875" w:type="dxa"/>
            <w:vAlign w:val="center"/>
          </w:tcPr>
          <w:p w:rsidR="00041A90" w:rsidRDefault="006C0EE4">
            <w:pPr>
              <w:jc w:val="center"/>
              <w:rPr>
                <w:rFonts w:ascii="仿宋" w:eastAsia="仿宋" w:hAnsi="仿宋"/>
                <w:sz w:val="30"/>
                <w:szCs w:val="30"/>
              </w:rPr>
            </w:pPr>
            <w:r>
              <w:rPr>
                <w:rFonts w:ascii="仿宋" w:eastAsia="仿宋" w:hAnsi="仿宋" w:hint="eastAsia"/>
                <w:sz w:val="30"/>
                <w:szCs w:val="30"/>
              </w:rPr>
              <w:t>产品追溯码</w:t>
            </w:r>
          </w:p>
        </w:tc>
        <w:tc>
          <w:tcPr>
            <w:tcW w:w="4110" w:type="dxa"/>
            <w:gridSpan w:val="2"/>
          </w:tcPr>
          <w:p w:rsidR="00041A90" w:rsidRDefault="00041A90">
            <w:pPr>
              <w:jc w:val="center"/>
              <w:rPr>
                <w:rFonts w:ascii="仿宋" w:eastAsia="仿宋" w:hAnsi="仿宋"/>
                <w:sz w:val="30"/>
                <w:szCs w:val="30"/>
              </w:rPr>
            </w:pPr>
          </w:p>
        </w:tc>
      </w:tr>
      <w:tr w:rsidR="00041A90">
        <w:tc>
          <w:tcPr>
            <w:tcW w:w="2093" w:type="dxa"/>
            <w:vAlign w:val="center"/>
          </w:tcPr>
          <w:p w:rsidR="00041A90" w:rsidRDefault="006C0EE4">
            <w:pPr>
              <w:jc w:val="center"/>
              <w:rPr>
                <w:rFonts w:ascii="仿宋" w:eastAsia="仿宋" w:hAnsi="仿宋"/>
                <w:sz w:val="30"/>
                <w:szCs w:val="30"/>
              </w:rPr>
            </w:pPr>
            <w:r>
              <w:rPr>
                <w:rFonts w:ascii="仿宋" w:eastAsia="仿宋" w:hAnsi="仿宋" w:hint="eastAsia"/>
                <w:sz w:val="30"/>
                <w:szCs w:val="30"/>
              </w:rPr>
              <w:t>业务</w:t>
            </w:r>
            <w:r>
              <w:rPr>
                <w:rFonts w:ascii="仿宋" w:eastAsia="仿宋" w:hAnsi="仿宋"/>
                <w:sz w:val="30"/>
                <w:szCs w:val="30"/>
              </w:rPr>
              <w:t>联系人</w:t>
            </w:r>
          </w:p>
        </w:tc>
        <w:tc>
          <w:tcPr>
            <w:tcW w:w="6772" w:type="dxa"/>
            <w:gridSpan w:val="3"/>
            <w:vAlign w:val="center"/>
          </w:tcPr>
          <w:p w:rsidR="00041A90" w:rsidRDefault="00041A90">
            <w:pPr>
              <w:jc w:val="center"/>
              <w:rPr>
                <w:rFonts w:ascii="仿宋" w:eastAsia="仿宋" w:hAnsi="仿宋"/>
                <w:sz w:val="30"/>
                <w:szCs w:val="30"/>
              </w:rPr>
            </w:pPr>
          </w:p>
        </w:tc>
        <w:tc>
          <w:tcPr>
            <w:tcW w:w="1875" w:type="dxa"/>
            <w:vAlign w:val="center"/>
          </w:tcPr>
          <w:p w:rsidR="00041A90" w:rsidRDefault="006C0EE4">
            <w:pPr>
              <w:jc w:val="center"/>
              <w:rPr>
                <w:rFonts w:ascii="仿宋" w:eastAsia="仿宋" w:hAnsi="仿宋"/>
                <w:sz w:val="30"/>
                <w:szCs w:val="30"/>
              </w:rPr>
            </w:pPr>
            <w:r>
              <w:rPr>
                <w:rFonts w:ascii="仿宋" w:eastAsia="仿宋" w:hAnsi="仿宋"/>
                <w:sz w:val="30"/>
                <w:szCs w:val="30"/>
              </w:rPr>
              <w:t>联系电话</w:t>
            </w:r>
          </w:p>
        </w:tc>
        <w:tc>
          <w:tcPr>
            <w:tcW w:w="4110" w:type="dxa"/>
            <w:gridSpan w:val="2"/>
          </w:tcPr>
          <w:p w:rsidR="00041A90" w:rsidRDefault="00041A90">
            <w:pPr>
              <w:jc w:val="center"/>
              <w:rPr>
                <w:rFonts w:ascii="仿宋" w:eastAsia="仿宋" w:hAnsi="仿宋"/>
                <w:sz w:val="30"/>
                <w:szCs w:val="30"/>
              </w:rPr>
            </w:pPr>
          </w:p>
        </w:tc>
      </w:tr>
      <w:tr w:rsidR="00041A90">
        <w:tc>
          <w:tcPr>
            <w:tcW w:w="14850" w:type="dxa"/>
            <w:gridSpan w:val="7"/>
          </w:tcPr>
          <w:p w:rsidR="00041A90" w:rsidRDefault="006C0EE4">
            <w:pPr>
              <w:jc w:val="center"/>
              <w:rPr>
                <w:rFonts w:ascii="仿宋" w:eastAsia="仿宋" w:hAnsi="仿宋"/>
                <w:sz w:val="30"/>
                <w:szCs w:val="30"/>
              </w:rPr>
            </w:pPr>
            <w:r>
              <w:rPr>
                <w:rFonts w:ascii="仿宋" w:eastAsia="仿宋" w:hAnsi="仿宋" w:hint="eastAsia"/>
                <w:sz w:val="30"/>
                <w:szCs w:val="30"/>
              </w:rPr>
              <w:t>跨省、区经营食盐情况</w:t>
            </w:r>
          </w:p>
        </w:tc>
      </w:tr>
      <w:tr w:rsidR="00041A90">
        <w:tc>
          <w:tcPr>
            <w:tcW w:w="2093" w:type="dxa"/>
            <w:vAlign w:val="center"/>
          </w:tcPr>
          <w:p w:rsidR="00041A90" w:rsidRDefault="006C0EE4">
            <w:pPr>
              <w:jc w:val="center"/>
              <w:rPr>
                <w:rFonts w:ascii="仿宋" w:eastAsia="仿宋" w:hAnsi="仿宋"/>
                <w:sz w:val="30"/>
                <w:szCs w:val="30"/>
              </w:rPr>
            </w:pPr>
            <w:r>
              <w:rPr>
                <w:rFonts w:ascii="仿宋" w:eastAsia="仿宋" w:hAnsi="仿宋" w:hint="eastAsia"/>
                <w:sz w:val="30"/>
                <w:szCs w:val="30"/>
              </w:rPr>
              <w:t>食盐品名</w:t>
            </w:r>
          </w:p>
        </w:tc>
        <w:tc>
          <w:tcPr>
            <w:tcW w:w="1642" w:type="dxa"/>
            <w:vAlign w:val="center"/>
          </w:tcPr>
          <w:p w:rsidR="00041A90" w:rsidRDefault="006C0EE4">
            <w:pPr>
              <w:jc w:val="center"/>
              <w:rPr>
                <w:rFonts w:ascii="仿宋" w:eastAsia="仿宋" w:hAnsi="仿宋"/>
                <w:sz w:val="30"/>
                <w:szCs w:val="30"/>
              </w:rPr>
            </w:pPr>
            <w:proofErr w:type="gramStart"/>
            <w:r>
              <w:rPr>
                <w:rFonts w:ascii="仿宋" w:eastAsia="仿宋" w:hAnsi="仿宋" w:hint="eastAsia"/>
                <w:sz w:val="30"/>
                <w:szCs w:val="30"/>
              </w:rPr>
              <w:t>规</w:t>
            </w:r>
            <w:proofErr w:type="gramEnd"/>
            <w:r>
              <w:rPr>
                <w:rFonts w:ascii="仿宋" w:eastAsia="仿宋" w:hAnsi="仿宋" w:hint="eastAsia"/>
                <w:sz w:val="30"/>
                <w:szCs w:val="30"/>
              </w:rPr>
              <w:t xml:space="preserve">  格</w:t>
            </w:r>
          </w:p>
        </w:tc>
        <w:tc>
          <w:tcPr>
            <w:tcW w:w="2805" w:type="dxa"/>
            <w:vAlign w:val="center"/>
          </w:tcPr>
          <w:p w:rsidR="00041A90" w:rsidRDefault="006C0EE4">
            <w:pPr>
              <w:jc w:val="center"/>
              <w:rPr>
                <w:rFonts w:ascii="仿宋" w:eastAsia="仿宋" w:hAnsi="仿宋"/>
                <w:sz w:val="30"/>
                <w:szCs w:val="30"/>
              </w:rPr>
            </w:pPr>
            <w:r>
              <w:rPr>
                <w:rFonts w:ascii="仿宋" w:eastAsia="仿宋" w:hAnsi="仿宋" w:hint="eastAsia"/>
                <w:sz w:val="30"/>
                <w:szCs w:val="30"/>
              </w:rPr>
              <w:t>是否加碘及加碘量</w:t>
            </w:r>
          </w:p>
        </w:tc>
        <w:tc>
          <w:tcPr>
            <w:tcW w:w="2325" w:type="dxa"/>
            <w:vAlign w:val="center"/>
          </w:tcPr>
          <w:p w:rsidR="00041A90" w:rsidRDefault="006C0EE4">
            <w:pPr>
              <w:jc w:val="center"/>
              <w:rPr>
                <w:rFonts w:ascii="仿宋" w:eastAsia="仿宋" w:hAnsi="仿宋"/>
                <w:sz w:val="30"/>
                <w:szCs w:val="30"/>
              </w:rPr>
            </w:pPr>
            <w:r>
              <w:rPr>
                <w:rFonts w:ascii="仿宋" w:eastAsia="仿宋" w:hAnsi="仿宋" w:hint="eastAsia"/>
                <w:sz w:val="30"/>
                <w:szCs w:val="30"/>
              </w:rPr>
              <w:t>销售区域</w:t>
            </w:r>
          </w:p>
        </w:tc>
        <w:tc>
          <w:tcPr>
            <w:tcW w:w="1875" w:type="dxa"/>
            <w:vAlign w:val="center"/>
          </w:tcPr>
          <w:p w:rsidR="00041A90" w:rsidRDefault="006C0EE4">
            <w:pPr>
              <w:jc w:val="center"/>
              <w:rPr>
                <w:rFonts w:ascii="仿宋" w:eastAsia="仿宋" w:hAnsi="仿宋"/>
                <w:sz w:val="30"/>
                <w:szCs w:val="30"/>
              </w:rPr>
            </w:pPr>
            <w:r>
              <w:rPr>
                <w:rFonts w:ascii="仿宋" w:eastAsia="仿宋" w:hAnsi="仿宋" w:hint="eastAsia"/>
                <w:sz w:val="30"/>
                <w:szCs w:val="30"/>
              </w:rPr>
              <w:t>销售方式</w:t>
            </w:r>
          </w:p>
        </w:tc>
        <w:tc>
          <w:tcPr>
            <w:tcW w:w="2355" w:type="dxa"/>
            <w:vAlign w:val="center"/>
          </w:tcPr>
          <w:p w:rsidR="00041A90" w:rsidRDefault="006C0EE4">
            <w:pPr>
              <w:jc w:val="center"/>
              <w:rPr>
                <w:rFonts w:ascii="仿宋" w:eastAsia="仿宋" w:hAnsi="仿宋"/>
                <w:sz w:val="30"/>
                <w:szCs w:val="30"/>
              </w:rPr>
            </w:pPr>
            <w:r>
              <w:rPr>
                <w:rFonts w:ascii="仿宋" w:eastAsia="仿宋" w:hAnsi="仿宋" w:hint="eastAsia"/>
                <w:sz w:val="30"/>
                <w:szCs w:val="30"/>
              </w:rPr>
              <w:t>销售数量</w:t>
            </w:r>
          </w:p>
        </w:tc>
        <w:tc>
          <w:tcPr>
            <w:tcW w:w="1755" w:type="dxa"/>
            <w:vAlign w:val="center"/>
          </w:tcPr>
          <w:p w:rsidR="00041A90" w:rsidRDefault="006C0EE4">
            <w:pPr>
              <w:jc w:val="center"/>
              <w:rPr>
                <w:rFonts w:ascii="仿宋" w:eastAsia="仿宋" w:hAnsi="仿宋"/>
                <w:sz w:val="30"/>
                <w:szCs w:val="30"/>
              </w:rPr>
            </w:pPr>
            <w:r>
              <w:rPr>
                <w:rFonts w:ascii="仿宋" w:eastAsia="仿宋" w:hAnsi="仿宋" w:hint="eastAsia"/>
                <w:sz w:val="30"/>
                <w:szCs w:val="30"/>
              </w:rPr>
              <w:t>依据标准</w:t>
            </w:r>
          </w:p>
        </w:tc>
      </w:tr>
      <w:tr w:rsidR="00041A90">
        <w:trPr>
          <w:trHeight w:val="410"/>
        </w:trPr>
        <w:tc>
          <w:tcPr>
            <w:tcW w:w="2093" w:type="dxa"/>
          </w:tcPr>
          <w:p w:rsidR="00041A90" w:rsidRDefault="00041A90">
            <w:pPr>
              <w:jc w:val="center"/>
              <w:rPr>
                <w:sz w:val="44"/>
                <w:szCs w:val="44"/>
              </w:rPr>
            </w:pPr>
          </w:p>
        </w:tc>
        <w:tc>
          <w:tcPr>
            <w:tcW w:w="1642" w:type="dxa"/>
          </w:tcPr>
          <w:p w:rsidR="00041A90" w:rsidRDefault="00041A90">
            <w:pPr>
              <w:jc w:val="center"/>
              <w:rPr>
                <w:sz w:val="44"/>
                <w:szCs w:val="44"/>
              </w:rPr>
            </w:pPr>
          </w:p>
        </w:tc>
        <w:tc>
          <w:tcPr>
            <w:tcW w:w="2805" w:type="dxa"/>
          </w:tcPr>
          <w:p w:rsidR="00041A90" w:rsidRDefault="00041A90">
            <w:pPr>
              <w:jc w:val="center"/>
              <w:rPr>
                <w:sz w:val="44"/>
                <w:szCs w:val="44"/>
              </w:rPr>
            </w:pPr>
          </w:p>
        </w:tc>
        <w:tc>
          <w:tcPr>
            <w:tcW w:w="2325" w:type="dxa"/>
          </w:tcPr>
          <w:p w:rsidR="00041A90" w:rsidRDefault="00041A90">
            <w:pPr>
              <w:jc w:val="center"/>
              <w:rPr>
                <w:sz w:val="44"/>
                <w:szCs w:val="44"/>
              </w:rPr>
            </w:pPr>
          </w:p>
        </w:tc>
        <w:tc>
          <w:tcPr>
            <w:tcW w:w="1875" w:type="dxa"/>
          </w:tcPr>
          <w:p w:rsidR="00041A90" w:rsidRDefault="00041A90">
            <w:pPr>
              <w:jc w:val="center"/>
              <w:rPr>
                <w:sz w:val="44"/>
                <w:szCs w:val="44"/>
              </w:rPr>
            </w:pPr>
          </w:p>
        </w:tc>
        <w:tc>
          <w:tcPr>
            <w:tcW w:w="2355" w:type="dxa"/>
          </w:tcPr>
          <w:p w:rsidR="00041A90" w:rsidRDefault="00041A90">
            <w:pPr>
              <w:jc w:val="center"/>
              <w:rPr>
                <w:sz w:val="44"/>
                <w:szCs w:val="44"/>
              </w:rPr>
            </w:pPr>
          </w:p>
        </w:tc>
        <w:tc>
          <w:tcPr>
            <w:tcW w:w="1755" w:type="dxa"/>
          </w:tcPr>
          <w:p w:rsidR="00041A90" w:rsidRDefault="00041A90">
            <w:pPr>
              <w:jc w:val="center"/>
              <w:rPr>
                <w:sz w:val="44"/>
                <w:szCs w:val="44"/>
              </w:rPr>
            </w:pPr>
          </w:p>
        </w:tc>
      </w:tr>
      <w:tr w:rsidR="00041A90">
        <w:trPr>
          <w:trHeight w:val="410"/>
        </w:trPr>
        <w:tc>
          <w:tcPr>
            <w:tcW w:w="2093" w:type="dxa"/>
          </w:tcPr>
          <w:p w:rsidR="00041A90" w:rsidRDefault="00041A90">
            <w:pPr>
              <w:jc w:val="center"/>
              <w:rPr>
                <w:sz w:val="44"/>
                <w:szCs w:val="44"/>
              </w:rPr>
            </w:pPr>
          </w:p>
        </w:tc>
        <w:tc>
          <w:tcPr>
            <w:tcW w:w="1642" w:type="dxa"/>
          </w:tcPr>
          <w:p w:rsidR="00041A90" w:rsidRDefault="00041A90">
            <w:pPr>
              <w:jc w:val="center"/>
              <w:rPr>
                <w:sz w:val="44"/>
                <w:szCs w:val="44"/>
              </w:rPr>
            </w:pPr>
          </w:p>
        </w:tc>
        <w:tc>
          <w:tcPr>
            <w:tcW w:w="2805" w:type="dxa"/>
          </w:tcPr>
          <w:p w:rsidR="00041A90" w:rsidRDefault="00041A90">
            <w:pPr>
              <w:jc w:val="center"/>
              <w:rPr>
                <w:sz w:val="44"/>
                <w:szCs w:val="44"/>
              </w:rPr>
            </w:pPr>
          </w:p>
        </w:tc>
        <w:tc>
          <w:tcPr>
            <w:tcW w:w="2325" w:type="dxa"/>
          </w:tcPr>
          <w:p w:rsidR="00041A90" w:rsidRDefault="00041A90">
            <w:pPr>
              <w:jc w:val="center"/>
              <w:rPr>
                <w:sz w:val="44"/>
                <w:szCs w:val="44"/>
              </w:rPr>
            </w:pPr>
          </w:p>
        </w:tc>
        <w:tc>
          <w:tcPr>
            <w:tcW w:w="1875" w:type="dxa"/>
          </w:tcPr>
          <w:p w:rsidR="00041A90" w:rsidRDefault="00041A90">
            <w:pPr>
              <w:jc w:val="center"/>
              <w:rPr>
                <w:sz w:val="44"/>
                <w:szCs w:val="44"/>
              </w:rPr>
            </w:pPr>
          </w:p>
        </w:tc>
        <w:tc>
          <w:tcPr>
            <w:tcW w:w="2355" w:type="dxa"/>
          </w:tcPr>
          <w:p w:rsidR="00041A90" w:rsidRDefault="00041A90">
            <w:pPr>
              <w:jc w:val="center"/>
              <w:rPr>
                <w:sz w:val="44"/>
                <w:szCs w:val="44"/>
              </w:rPr>
            </w:pPr>
          </w:p>
        </w:tc>
        <w:tc>
          <w:tcPr>
            <w:tcW w:w="1755" w:type="dxa"/>
          </w:tcPr>
          <w:p w:rsidR="00041A90" w:rsidRDefault="00041A90">
            <w:pPr>
              <w:jc w:val="center"/>
              <w:rPr>
                <w:sz w:val="44"/>
                <w:szCs w:val="44"/>
              </w:rPr>
            </w:pPr>
          </w:p>
        </w:tc>
      </w:tr>
      <w:tr w:rsidR="00041A90">
        <w:trPr>
          <w:trHeight w:val="370"/>
        </w:trPr>
        <w:tc>
          <w:tcPr>
            <w:tcW w:w="2093" w:type="dxa"/>
          </w:tcPr>
          <w:p w:rsidR="00041A90" w:rsidRDefault="006C0EE4">
            <w:pPr>
              <w:jc w:val="center"/>
              <w:rPr>
                <w:sz w:val="44"/>
                <w:szCs w:val="44"/>
              </w:rPr>
            </w:pPr>
            <w:r>
              <w:rPr>
                <w:rFonts w:ascii="仿宋" w:eastAsia="仿宋" w:hAnsi="仿宋"/>
                <w:sz w:val="30"/>
                <w:szCs w:val="30"/>
              </w:rPr>
              <w:t>销量合计</w:t>
            </w:r>
          </w:p>
        </w:tc>
        <w:tc>
          <w:tcPr>
            <w:tcW w:w="12757" w:type="dxa"/>
            <w:gridSpan w:val="6"/>
          </w:tcPr>
          <w:p w:rsidR="00041A90" w:rsidRDefault="00041A90">
            <w:pPr>
              <w:rPr>
                <w:sz w:val="44"/>
                <w:szCs w:val="44"/>
              </w:rPr>
            </w:pPr>
          </w:p>
        </w:tc>
      </w:tr>
    </w:tbl>
    <w:p w:rsidR="00041A90" w:rsidRDefault="00041A90">
      <w:pPr>
        <w:rPr>
          <w:rFonts w:ascii="仿宋" w:eastAsia="仿宋" w:hAnsi="仿宋"/>
          <w:sz w:val="32"/>
          <w:szCs w:val="32"/>
        </w:rPr>
      </w:pPr>
    </w:p>
    <w:p w:rsidR="00041A90" w:rsidRDefault="006C0EE4">
      <w:pPr>
        <w:rPr>
          <w:rFonts w:ascii="仿宋" w:eastAsia="仿宋" w:hAnsi="仿宋"/>
          <w:b/>
          <w:bCs/>
          <w:sz w:val="36"/>
          <w:szCs w:val="36"/>
        </w:rPr>
      </w:pPr>
      <w:r>
        <w:rPr>
          <w:rFonts w:ascii="仿宋" w:eastAsia="仿宋" w:hAnsi="仿宋" w:hint="eastAsia"/>
          <w:b/>
          <w:bCs/>
          <w:sz w:val="36"/>
          <w:szCs w:val="36"/>
        </w:rPr>
        <w:t>填表说明：</w:t>
      </w:r>
    </w:p>
    <w:p w:rsidR="00041A90" w:rsidRDefault="006C0EE4">
      <w:pPr>
        <w:spacing w:line="500" w:lineRule="exact"/>
        <w:rPr>
          <w:rFonts w:ascii="仿宋" w:eastAsia="仿宋" w:hAnsi="仿宋" w:cs="仿宋"/>
          <w:sz w:val="32"/>
          <w:szCs w:val="32"/>
        </w:rPr>
      </w:pPr>
      <w:r>
        <w:rPr>
          <w:rFonts w:ascii="仿宋" w:eastAsia="仿宋" w:hAnsi="仿宋" w:cs="仿宋" w:hint="eastAsia"/>
          <w:b/>
          <w:bCs/>
          <w:sz w:val="32"/>
          <w:szCs w:val="32"/>
        </w:rPr>
        <w:t>1.企业名称、法定代表人、注册地址：</w:t>
      </w:r>
      <w:r>
        <w:rPr>
          <w:rFonts w:ascii="仿宋" w:eastAsia="仿宋" w:hAnsi="仿宋" w:cs="仿宋" w:hint="eastAsia"/>
          <w:sz w:val="32"/>
          <w:szCs w:val="32"/>
        </w:rPr>
        <w:t>填写获得食盐定点批发企业资质的企业相关信息；</w:t>
      </w:r>
    </w:p>
    <w:p w:rsidR="00041A90" w:rsidRDefault="006C0EE4">
      <w:pPr>
        <w:spacing w:line="500" w:lineRule="exact"/>
        <w:rPr>
          <w:rFonts w:ascii="仿宋" w:eastAsia="仿宋" w:hAnsi="仿宋" w:cs="仿宋"/>
          <w:sz w:val="32"/>
          <w:szCs w:val="32"/>
        </w:rPr>
      </w:pPr>
      <w:r>
        <w:rPr>
          <w:rFonts w:ascii="仿宋" w:eastAsia="仿宋" w:hAnsi="仿宋" w:cs="仿宋" w:hint="eastAsia"/>
          <w:b/>
          <w:bCs/>
          <w:sz w:val="32"/>
          <w:szCs w:val="32"/>
        </w:rPr>
        <w:t>2.生产经营地址、发证机关、营业执照代码、：</w:t>
      </w:r>
      <w:r>
        <w:rPr>
          <w:rFonts w:ascii="仿宋" w:eastAsia="仿宋" w:hAnsi="仿宋" w:cs="仿宋" w:hint="eastAsia"/>
          <w:sz w:val="32"/>
          <w:szCs w:val="32"/>
        </w:rPr>
        <w:t>按《关于进一步加强食盐专营管理有关工作的通知》（</w:t>
      </w:r>
      <w:r>
        <w:rPr>
          <w:rFonts w:ascii="仿宋" w:eastAsia="仿宋" w:hAnsi="仿宋" w:cs="仿宋" w:hint="eastAsia"/>
          <w:color w:val="333333"/>
          <w:sz w:val="32"/>
          <w:szCs w:val="32"/>
          <w:shd w:val="clear" w:color="auto" w:fill="FFFFFF"/>
        </w:rPr>
        <w:t>工</w:t>
      </w:r>
      <w:proofErr w:type="gramStart"/>
      <w:r>
        <w:rPr>
          <w:rFonts w:ascii="仿宋" w:eastAsia="仿宋" w:hAnsi="仿宋" w:cs="仿宋" w:hint="eastAsia"/>
          <w:color w:val="333333"/>
          <w:sz w:val="32"/>
          <w:szCs w:val="32"/>
          <w:shd w:val="clear" w:color="auto" w:fill="FFFFFF"/>
        </w:rPr>
        <w:t>信厅联消费</w:t>
      </w:r>
      <w:proofErr w:type="gramEnd"/>
      <w:r>
        <w:rPr>
          <w:rFonts w:ascii="仿宋" w:eastAsia="仿宋" w:hAnsi="仿宋" w:cs="仿宋" w:hint="eastAsia"/>
          <w:color w:val="333333"/>
          <w:sz w:val="32"/>
          <w:szCs w:val="32"/>
          <w:shd w:val="clear" w:color="auto" w:fill="FFFFFF"/>
        </w:rPr>
        <w:t>〔2019〕92号）明确的</w:t>
      </w:r>
      <w:r>
        <w:rPr>
          <w:rFonts w:ascii="仿宋" w:eastAsia="仿宋" w:hAnsi="仿宋" w:cs="仿宋" w:hint="eastAsia"/>
          <w:sz w:val="32"/>
          <w:szCs w:val="32"/>
        </w:rPr>
        <w:t>四种形式分别填写；</w:t>
      </w:r>
    </w:p>
    <w:p w:rsidR="00041A90" w:rsidRDefault="006C0EE4">
      <w:pPr>
        <w:spacing w:line="500" w:lineRule="exact"/>
        <w:rPr>
          <w:rFonts w:ascii="仿宋" w:eastAsia="仿宋" w:hAnsi="仿宋" w:cs="仿宋"/>
          <w:b/>
          <w:bCs/>
          <w:sz w:val="32"/>
          <w:szCs w:val="32"/>
        </w:rPr>
      </w:pPr>
      <w:r>
        <w:rPr>
          <w:rFonts w:ascii="仿宋" w:eastAsia="仿宋" w:hAnsi="仿宋" w:cs="仿宋" w:hint="eastAsia"/>
          <w:b/>
          <w:bCs/>
          <w:color w:val="000000"/>
          <w:sz w:val="32"/>
          <w:szCs w:val="32"/>
        </w:rPr>
        <w:t>3.产品追溯码：</w:t>
      </w:r>
      <w:r>
        <w:rPr>
          <w:rFonts w:ascii="仿宋" w:eastAsia="仿宋" w:hAnsi="仿宋" w:cs="仿宋" w:hint="eastAsia"/>
          <w:bCs/>
          <w:sz w:val="32"/>
          <w:szCs w:val="32"/>
        </w:rPr>
        <w:t>填写是否建立追</w:t>
      </w:r>
      <w:r>
        <w:rPr>
          <w:rFonts w:ascii="仿宋" w:eastAsia="仿宋" w:hAnsi="仿宋" w:cs="仿宋" w:hint="eastAsia"/>
          <w:sz w:val="32"/>
          <w:szCs w:val="32"/>
        </w:rPr>
        <w:t>溯系统；</w:t>
      </w:r>
    </w:p>
    <w:p w:rsidR="00041A90" w:rsidRDefault="006C0EE4">
      <w:pPr>
        <w:spacing w:line="500" w:lineRule="exact"/>
        <w:rPr>
          <w:rFonts w:ascii="仿宋" w:eastAsia="仿宋" w:hAnsi="仿宋" w:cs="仿宋"/>
          <w:sz w:val="32"/>
          <w:szCs w:val="32"/>
        </w:rPr>
      </w:pPr>
      <w:r>
        <w:rPr>
          <w:rFonts w:ascii="仿宋" w:eastAsia="仿宋" w:hAnsi="仿宋" w:cs="仿宋" w:hint="eastAsia"/>
          <w:b/>
          <w:bCs/>
          <w:sz w:val="32"/>
          <w:szCs w:val="32"/>
        </w:rPr>
        <w:t>4.业务联系人、联系电话：</w:t>
      </w:r>
      <w:r>
        <w:rPr>
          <w:rFonts w:ascii="仿宋" w:eastAsia="仿宋" w:hAnsi="仿宋" w:cs="仿宋" w:hint="eastAsia"/>
          <w:sz w:val="32"/>
          <w:szCs w:val="32"/>
        </w:rPr>
        <w:t>填写负责来鲁经营负责人相关信息；</w:t>
      </w:r>
    </w:p>
    <w:p w:rsidR="00041A90" w:rsidRDefault="006C0EE4">
      <w:pPr>
        <w:spacing w:line="500" w:lineRule="exact"/>
        <w:rPr>
          <w:rFonts w:ascii="仿宋" w:eastAsia="仿宋" w:hAnsi="仿宋" w:cs="仿宋"/>
          <w:sz w:val="32"/>
          <w:szCs w:val="32"/>
        </w:rPr>
      </w:pPr>
      <w:r>
        <w:rPr>
          <w:rFonts w:ascii="仿宋" w:eastAsia="仿宋" w:hAnsi="仿宋" w:cs="仿宋" w:hint="eastAsia"/>
          <w:b/>
          <w:bCs/>
          <w:sz w:val="32"/>
          <w:szCs w:val="32"/>
        </w:rPr>
        <w:t>5.食盐品名：</w:t>
      </w:r>
      <w:r>
        <w:rPr>
          <w:rFonts w:ascii="仿宋" w:eastAsia="仿宋" w:hAnsi="仿宋" w:cs="仿宋" w:hint="eastAsia"/>
          <w:sz w:val="32"/>
          <w:szCs w:val="32"/>
        </w:rPr>
        <w:t>填写食盐商品名全称；</w:t>
      </w:r>
    </w:p>
    <w:p w:rsidR="00041A90" w:rsidRDefault="006C0EE4">
      <w:pPr>
        <w:spacing w:line="500" w:lineRule="exact"/>
        <w:rPr>
          <w:rFonts w:ascii="仿宋" w:eastAsia="仿宋" w:hAnsi="仿宋" w:cs="仿宋"/>
          <w:sz w:val="32"/>
          <w:szCs w:val="32"/>
        </w:rPr>
      </w:pPr>
      <w:r>
        <w:rPr>
          <w:rFonts w:ascii="仿宋" w:eastAsia="仿宋" w:hAnsi="仿宋" w:cs="仿宋" w:hint="eastAsia"/>
          <w:b/>
          <w:bCs/>
          <w:sz w:val="32"/>
          <w:szCs w:val="32"/>
        </w:rPr>
        <w:t>6.规格：</w:t>
      </w:r>
      <w:r>
        <w:rPr>
          <w:rFonts w:ascii="仿宋" w:eastAsia="仿宋" w:hAnsi="仿宋" w:cs="仿宋" w:hint="eastAsia"/>
          <w:sz w:val="32"/>
          <w:szCs w:val="32"/>
        </w:rPr>
        <w:t>填写最小</w:t>
      </w:r>
      <w:proofErr w:type="gramStart"/>
      <w:r>
        <w:rPr>
          <w:rFonts w:ascii="仿宋" w:eastAsia="仿宋" w:hAnsi="仿宋" w:cs="仿宋" w:hint="eastAsia"/>
          <w:sz w:val="32"/>
          <w:szCs w:val="32"/>
        </w:rPr>
        <w:t>包装单袋重量</w:t>
      </w:r>
      <w:proofErr w:type="gramEnd"/>
      <w:r>
        <w:rPr>
          <w:rFonts w:ascii="仿宋" w:eastAsia="仿宋" w:hAnsi="仿宋" w:cs="仿宋" w:hint="eastAsia"/>
          <w:sz w:val="32"/>
          <w:szCs w:val="32"/>
        </w:rPr>
        <w:t>；</w:t>
      </w:r>
    </w:p>
    <w:p w:rsidR="00041A90" w:rsidRDefault="006C0EE4">
      <w:pPr>
        <w:spacing w:line="500" w:lineRule="exact"/>
        <w:rPr>
          <w:rFonts w:ascii="仿宋" w:eastAsia="仿宋" w:hAnsi="仿宋" w:cs="仿宋"/>
          <w:sz w:val="32"/>
          <w:szCs w:val="32"/>
        </w:rPr>
      </w:pPr>
      <w:r>
        <w:rPr>
          <w:rFonts w:ascii="仿宋" w:eastAsia="仿宋" w:hAnsi="仿宋" w:cs="仿宋" w:hint="eastAsia"/>
          <w:b/>
          <w:bCs/>
          <w:sz w:val="32"/>
          <w:szCs w:val="32"/>
        </w:rPr>
        <w:t>7.是否加碘及加碘量：</w:t>
      </w:r>
      <w:r>
        <w:rPr>
          <w:rFonts w:ascii="仿宋" w:eastAsia="仿宋" w:hAnsi="仿宋" w:cs="仿宋" w:hint="eastAsia"/>
          <w:sz w:val="32"/>
          <w:szCs w:val="32"/>
        </w:rPr>
        <w:t>填写“</w:t>
      </w:r>
      <w:bookmarkStart w:id="0" w:name="_GoBack"/>
      <w:bookmarkEnd w:id="0"/>
      <w:r>
        <w:rPr>
          <w:rFonts w:ascii="仿宋" w:eastAsia="仿宋" w:hAnsi="仿宋" w:cs="仿宋" w:hint="eastAsia"/>
          <w:sz w:val="32"/>
          <w:szCs w:val="32"/>
        </w:rPr>
        <w:t>是”或“否”及加碘量；</w:t>
      </w:r>
    </w:p>
    <w:p w:rsidR="00041A90" w:rsidRDefault="006C0EE4">
      <w:pPr>
        <w:spacing w:line="500" w:lineRule="exact"/>
        <w:rPr>
          <w:rFonts w:ascii="仿宋" w:eastAsia="仿宋" w:hAnsi="仿宋" w:cs="仿宋"/>
          <w:sz w:val="32"/>
          <w:szCs w:val="32"/>
        </w:rPr>
      </w:pPr>
      <w:r>
        <w:rPr>
          <w:rFonts w:ascii="仿宋" w:eastAsia="仿宋" w:hAnsi="仿宋" w:cs="仿宋" w:hint="eastAsia"/>
          <w:b/>
          <w:bCs/>
          <w:sz w:val="32"/>
          <w:szCs w:val="32"/>
        </w:rPr>
        <w:t>8.销售区域：</w:t>
      </w:r>
      <w:r>
        <w:rPr>
          <w:rFonts w:ascii="仿宋" w:eastAsia="仿宋" w:hAnsi="仿宋" w:cs="仿宋" w:hint="eastAsia"/>
          <w:sz w:val="32"/>
          <w:szCs w:val="32"/>
        </w:rPr>
        <w:t>以县（市）、区为区域分别填写；</w:t>
      </w:r>
    </w:p>
    <w:p w:rsidR="00041A90" w:rsidRDefault="006C0EE4">
      <w:pPr>
        <w:spacing w:line="500" w:lineRule="exact"/>
        <w:rPr>
          <w:rFonts w:ascii="仿宋" w:eastAsia="仿宋" w:hAnsi="仿宋" w:cs="仿宋"/>
          <w:sz w:val="32"/>
          <w:szCs w:val="32"/>
        </w:rPr>
      </w:pPr>
      <w:r>
        <w:rPr>
          <w:rFonts w:ascii="仿宋" w:eastAsia="仿宋" w:hAnsi="仿宋" w:cs="仿宋" w:hint="eastAsia"/>
          <w:b/>
          <w:bCs/>
          <w:sz w:val="32"/>
          <w:szCs w:val="32"/>
        </w:rPr>
        <w:t>9.销售方式：</w:t>
      </w:r>
      <w:r>
        <w:rPr>
          <w:rFonts w:ascii="仿宋" w:eastAsia="仿宋" w:hAnsi="仿宋" w:cs="仿宋" w:hint="eastAsia"/>
          <w:sz w:val="32"/>
          <w:szCs w:val="32"/>
        </w:rPr>
        <w:t>根据实际情况分别填写“与批发企业合作”、“自建渠道”、“委托第三方物流配送”等；</w:t>
      </w:r>
    </w:p>
    <w:p w:rsidR="00041A90" w:rsidRDefault="006C0EE4">
      <w:pPr>
        <w:spacing w:line="500" w:lineRule="exact"/>
        <w:rPr>
          <w:rFonts w:ascii="仿宋" w:eastAsia="仿宋" w:hAnsi="仿宋" w:cs="仿宋"/>
          <w:sz w:val="32"/>
          <w:szCs w:val="32"/>
        </w:rPr>
      </w:pPr>
      <w:r>
        <w:rPr>
          <w:rFonts w:ascii="仿宋" w:eastAsia="仿宋" w:hAnsi="仿宋" w:cs="仿宋" w:hint="eastAsia"/>
          <w:b/>
          <w:bCs/>
          <w:sz w:val="32"/>
          <w:szCs w:val="32"/>
        </w:rPr>
        <w:t>10.销售数量、销量合计：</w:t>
      </w:r>
      <w:r>
        <w:rPr>
          <w:rFonts w:ascii="仿宋" w:eastAsia="仿宋" w:hAnsi="仿宋" w:cs="仿宋" w:hint="eastAsia"/>
          <w:sz w:val="32"/>
          <w:szCs w:val="32"/>
        </w:rPr>
        <w:t>据实填写，单位为“吨”</w:t>
      </w:r>
      <w:r w:rsidR="005F29F9" w:rsidRPr="00E73EDB">
        <w:rPr>
          <w:rFonts w:ascii="仿宋" w:eastAsia="仿宋" w:hAnsi="仿宋" w:cs="仿宋" w:hint="eastAsia"/>
          <w:sz w:val="32"/>
          <w:szCs w:val="32"/>
          <w:highlight w:val="yellow"/>
        </w:rPr>
        <w:t>；</w:t>
      </w:r>
    </w:p>
    <w:p w:rsidR="00041A90" w:rsidRDefault="006C0EE4">
      <w:pPr>
        <w:spacing w:line="500" w:lineRule="exact"/>
        <w:rPr>
          <w:rFonts w:ascii="仿宋" w:eastAsia="仿宋" w:hAnsi="仿宋" w:cs="仿宋"/>
          <w:sz w:val="32"/>
          <w:szCs w:val="32"/>
        </w:rPr>
      </w:pPr>
      <w:r>
        <w:rPr>
          <w:rFonts w:ascii="仿宋" w:eastAsia="仿宋" w:hAnsi="仿宋" w:cs="仿宋" w:hint="eastAsia"/>
          <w:b/>
          <w:bCs/>
          <w:sz w:val="32"/>
          <w:szCs w:val="32"/>
        </w:rPr>
        <w:t>11.依据标准：</w:t>
      </w:r>
      <w:r>
        <w:rPr>
          <w:rFonts w:ascii="仿宋" w:eastAsia="仿宋" w:hAnsi="仿宋" w:cs="仿宋" w:hint="eastAsia"/>
          <w:sz w:val="32"/>
          <w:szCs w:val="32"/>
        </w:rPr>
        <w:t>国家标准、行业标准、企业标准</w:t>
      </w:r>
      <w:r w:rsidR="005F29F9" w:rsidRPr="00E73EDB">
        <w:rPr>
          <w:rFonts w:ascii="仿宋" w:eastAsia="仿宋" w:hAnsi="仿宋" w:cs="仿宋" w:hint="eastAsia"/>
          <w:sz w:val="32"/>
          <w:szCs w:val="32"/>
          <w:highlight w:val="yellow"/>
        </w:rPr>
        <w:t>；</w:t>
      </w:r>
    </w:p>
    <w:p w:rsidR="00041A90" w:rsidRDefault="006C0EE4">
      <w:pPr>
        <w:spacing w:line="500" w:lineRule="exact"/>
        <w:rPr>
          <w:sz w:val="32"/>
          <w:szCs w:val="32"/>
        </w:rPr>
      </w:pPr>
      <w:r>
        <w:rPr>
          <w:rFonts w:ascii="仿宋" w:eastAsia="仿宋" w:hAnsi="仿宋" w:cs="仿宋" w:hint="eastAsia"/>
          <w:b/>
          <w:bCs/>
          <w:sz w:val="32"/>
          <w:szCs w:val="32"/>
        </w:rPr>
        <w:t>12.报送邮箱：</w:t>
      </w:r>
      <w:r>
        <w:rPr>
          <w:rFonts w:ascii="仿宋" w:eastAsia="仿宋" w:hAnsi="仿宋" w:cs="仿宋" w:hint="eastAsia"/>
          <w:sz w:val="32"/>
          <w:szCs w:val="32"/>
        </w:rPr>
        <w:t>sdyy@shandong.cn</w:t>
      </w:r>
      <w:r w:rsidR="005F29F9" w:rsidRPr="00E73EDB">
        <w:rPr>
          <w:rFonts w:ascii="仿宋" w:eastAsia="仿宋" w:hAnsi="仿宋" w:cs="仿宋" w:hint="eastAsia"/>
          <w:sz w:val="32"/>
          <w:szCs w:val="32"/>
          <w:highlight w:val="yellow"/>
        </w:rPr>
        <w:t>。</w:t>
      </w:r>
    </w:p>
    <w:sectPr w:rsidR="00041A90">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130" w:rsidRDefault="00B22130">
      <w:r>
        <w:separator/>
      </w:r>
    </w:p>
  </w:endnote>
  <w:endnote w:type="continuationSeparator" w:id="0">
    <w:p w:rsidR="00B22130" w:rsidRDefault="00B2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90" w:rsidRDefault="006C0EE4">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1A90" w:rsidRDefault="006C0EE4">
                          <w:pPr>
                            <w:pStyle w:val="a5"/>
                          </w:pPr>
                          <w:r>
                            <w:rPr>
                              <w:rFonts w:hint="eastAsia"/>
                            </w:rPr>
                            <w:fldChar w:fldCharType="begin"/>
                          </w:r>
                          <w:r>
                            <w:rPr>
                              <w:rFonts w:hint="eastAsia"/>
                            </w:rPr>
                            <w:instrText xml:space="preserve"> PAGE  \* MERGEFORMAT </w:instrText>
                          </w:r>
                          <w:r>
                            <w:rPr>
                              <w:rFonts w:hint="eastAsia"/>
                            </w:rPr>
                            <w:fldChar w:fldCharType="separate"/>
                          </w:r>
                          <w:r w:rsidR="00E73EDB">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rsidR="00041A90" w:rsidRDefault="006C0EE4">
                    <w:pPr>
                      <w:pStyle w:val="a5"/>
                    </w:pPr>
                    <w:r>
                      <w:rPr>
                        <w:rFonts w:hint="eastAsia"/>
                      </w:rPr>
                      <w:fldChar w:fldCharType="begin"/>
                    </w:r>
                    <w:r>
                      <w:rPr>
                        <w:rFonts w:hint="eastAsia"/>
                      </w:rPr>
                      <w:instrText xml:space="preserve"> PAGE  \* MERGEFORMAT </w:instrText>
                    </w:r>
                    <w:r>
                      <w:rPr>
                        <w:rFonts w:hint="eastAsia"/>
                      </w:rPr>
                      <w:fldChar w:fldCharType="separate"/>
                    </w:r>
                    <w:r w:rsidR="00E73EDB">
                      <w:rPr>
                        <w:noProof/>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130" w:rsidRDefault="00B22130">
      <w:r>
        <w:separator/>
      </w:r>
    </w:p>
  </w:footnote>
  <w:footnote w:type="continuationSeparator" w:id="0">
    <w:p w:rsidR="00B22130" w:rsidRDefault="00B22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14DEE"/>
    <w:rsid w:val="00001084"/>
    <w:rsid w:val="00007E63"/>
    <w:rsid w:val="00025039"/>
    <w:rsid w:val="00041A90"/>
    <w:rsid w:val="00061D1A"/>
    <w:rsid w:val="000B4F46"/>
    <w:rsid w:val="000B5950"/>
    <w:rsid w:val="000C7CD7"/>
    <w:rsid w:val="000E2397"/>
    <w:rsid w:val="000E7434"/>
    <w:rsid w:val="0010638F"/>
    <w:rsid w:val="00122010"/>
    <w:rsid w:val="00145C53"/>
    <w:rsid w:val="001528A8"/>
    <w:rsid w:val="00153AF3"/>
    <w:rsid w:val="00154B2C"/>
    <w:rsid w:val="001903AC"/>
    <w:rsid w:val="001C53B5"/>
    <w:rsid w:val="001E1723"/>
    <w:rsid w:val="001E57F8"/>
    <w:rsid w:val="00262D5B"/>
    <w:rsid w:val="00266D51"/>
    <w:rsid w:val="00267ED2"/>
    <w:rsid w:val="00271477"/>
    <w:rsid w:val="00277F4F"/>
    <w:rsid w:val="0028012B"/>
    <w:rsid w:val="002849A3"/>
    <w:rsid w:val="002B5107"/>
    <w:rsid w:val="002D4018"/>
    <w:rsid w:val="00317691"/>
    <w:rsid w:val="003404CA"/>
    <w:rsid w:val="0035514A"/>
    <w:rsid w:val="003746AA"/>
    <w:rsid w:val="003C535C"/>
    <w:rsid w:val="003D0C2B"/>
    <w:rsid w:val="003E63E5"/>
    <w:rsid w:val="00405E9A"/>
    <w:rsid w:val="004350DE"/>
    <w:rsid w:val="004A0AE5"/>
    <w:rsid w:val="004A3340"/>
    <w:rsid w:val="004C0E5F"/>
    <w:rsid w:val="004D4F67"/>
    <w:rsid w:val="00503BEA"/>
    <w:rsid w:val="00507333"/>
    <w:rsid w:val="00507607"/>
    <w:rsid w:val="00515321"/>
    <w:rsid w:val="00532039"/>
    <w:rsid w:val="005336F3"/>
    <w:rsid w:val="00535BD2"/>
    <w:rsid w:val="00574702"/>
    <w:rsid w:val="005C5933"/>
    <w:rsid w:val="005E5E2A"/>
    <w:rsid w:val="005F29F9"/>
    <w:rsid w:val="00625867"/>
    <w:rsid w:val="006507D7"/>
    <w:rsid w:val="00661315"/>
    <w:rsid w:val="006A1609"/>
    <w:rsid w:val="006A2D51"/>
    <w:rsid w:val="006B7207"/>
    <w:rsid w:val="006C0EE4"/>
    <w:rsid w:val="006F7DC4"/>
    <w:rsid w:val="007045D1"/>
    <w:rsid w:val="00707847"/>
    <w:rsid w:val="00752A57"/>
    <w:rsid w:val="007919D9"/>
    <w:rsid w:val="007A37B1"/>
    <w:rsid w:val="00891AA1"/>
    <w:rsid w:val="00904174"/>
    <w:rsid w:val="009076E6"/>
    <w:rsid w:val="0092653B"/>
    <w:rsid w:val="009378B8"/>
    <w:rsid w:val="00985B80"/>
    <w:rsid w:val="009C49AD"/>
    <w:rsid w:val="009C5560"/>
    <w:rsid w:val="009E032D"/>
    <w:rsid w:val="009F783A"/>
    <w:rsid w:val="00A04D39"/>
    <w:rsid w:val="00A1691F"/>
    <w:rsid w:val="00A61CB9"/>
    <w:rsid w:val="00A93015"/>
    <w:rsid w:val="00AC655A"/>
    <w:rsid w:val="00B01A0D"/>
    <w:rsid w:val="00B05E43"/>
    <w:rsid w:val="00B22130"/>
    <w:rsid w:val="00B233BB"/>
    <w:rsid w:val="00B26B8D"/>
    <w:rsid w:val="00B45D3B"/>
    <w:rsid w:val="00B66C68"/>
    <w:rsid w:val="00B750AF"/>
    <w:rsid w:val="00B80001"/>
    <w:rsid w:val="00B9115B"/>
    <w:rsid w:val="00BA5459"/>
    <w:rsid w:val="00C0129A"/>
    <w:rsid w:val="00C07ED3"/>
    <w:rsid w:val="00C351B7"/>
    <w:rsid w:val="00C422AF"/>
    <w:rsid w:val="00C56FA1"/>
    <w:rsid w:val="00C65A49"/>
    <w:rsid w:val="00C71629"/>
    <w:rsid w:val="00CA07A4"/>
    <w:rsid w:val="00CB67C7"/>
    <w:rsid w:val="00CF650E"/>
    <w:rsid w:val="00CF7CE5"/>
    <w:rsid w:val="00D2014F"/>
    <w:rsid w:val="00D30CFC"/>
    <w:rsid w:val="00D5276A"/>
    <w:rsid w:val="00DA3B0D"/>
    <w:rsid w:val="00DB4930"/>
    <w:rsid w:val="00DC69DC"/>
    <w:rsid w:val="00E002A9"/>
    <w:rsid w:val="00E11C5D"/>
    <w:rsid w:val="00E17E5B"/>
    <w:rsid w:val="00E73EDB"/>
    <w:rsid w:val="00E93F88"/>
    <w:rsid w:val="00EA375C"/>
    <w:rsid w:val="00EC54B0"/>
    <w:rsid w:val="00ED340E"/>
    <w:rsid w:val="00EE678B"/>
    <w:rsid w:val="00F97554"/>
    <w:rsid w:val="00FA3F30"/>
    <w:rsid w:val="00FC6DBA"/>
    <w:rsid w:val="03E47C22"/>
    <w:rsid w:val="062504F9"/>
    <w:rsid w:val="06C1280D"/>
    <w:rsid w:val="07702D7A"/>
    <w:rsid w:val="09F22AC0"/>
    <w:rsid w:val="0AF44549"/>
    <w:rsid w:val="0C8E4345"/>
    <w:rsid w:val="0EA70FDC"/>
    <w:rsid w:val="10810F33"/>
    <w:rsid w:val="12141956"/>
    <w:rsid w:val="15093C75"/>
    <w:rsid w:val="1521012E"/>
    <w:rsid w:val="17FE4550"/>
    <w:rsid w:val="19055DB1"/>
    <w:rsid w:val="1906664E"/>
    <w:rsid w:val="1AAC19C9"/>
    <w:rsid w:val="1B8466C5"/>
    <w:rsid w:val="1C792580"/>
    <w:rsid w:val="1EAE7484"/>
    <w:rsid w:val="1F8C5A91"/>
    <w:rsid w:val="20431EAD"/>
    <w:rsid w:val="216271D3"/>
    <w:rsid w:val="24985954"/>
    <w:rsid w:val="263E3DD7"/>
    <w:rsid w:val="29C14003"/>
    <w:rsid w:val="2A3D34DE"/>
    <w:rsid w:val="2AD62470"/>
    <w:rsid w:val="2EE4663F"/>
    <w:rsid w:val="2FD41089"/>
    <w:rsid w:val="32754BAF"/>
    <w:rsid w:val="33F4383F"/>
    <w:rsid w:val="353F0855"/>
    <w:rsid w:val="35AA35BB"/>
    <w:rsid w:val="38614DEE"/>
    <w:rsid w:val="395F6446"/>
    <w:rsid w:val="3D481D06"/>
    <w:rsid w:val="445F0B73"/>
    <w:rsid w:val="44AC15EE"/>
    <w:rsid w:val="44CA780E"/>
    <w:rsid w:val="4652799E"/>
    <w:rsid w:val="46A859CB"/>
    <w:rsid w:val="498E77D0"/>
    <w:rsid w:val="4B5A3E5F"/>
    <w:rsid w:val="4D39205E"/>
    <w:rsid w:val="504912A9"/>
    <w:rsid w:val="53D60EAB"/>
    <w:rsid w:val="55E46074"/>
    <w:rsid w:val="57073CE7"/>
    <w:rsid w:val="59814C5D"/>
    <w:rsid w:val="59F93182"/>
    <w:rsid w:val="622B459E"/>
    <w:rsid w:val="631B4B0A"/>
    <w:rsid w:val="63CB7C83"/>
    <w:rsid w:val="64567AFA"/>
    <w:rsid w:val="66FD0C1B"/>
    <w:rsid w:val="6769487C"/>
    <w:rsid w:val="67BA08C6"/>
    <w:rsid w:val="6B93545F"/>
    <w:rsid w:val="6C39273F"/>
    <w:rsid w:val="6D825A44"/>
    <w:rsid w:val="6FB47F47"/>
    <w:rsid w:val="72B0565B"/>
    <w:rsid w:val="74AB672D"/>
    <w:rsid w:val="7FC035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style>
  <w:style w:type="paragraph" w:styleId="a4">
    <w:name w:val="Balloon Text"/>
    <w:basedOn w:val="a"/>
    <w:link w:val="Char"/>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jc w:val="left"/>
    </w:pPr>
    <w:rPr>
      <w:rFonts w:cs="Times New Roman"/>
      <w:kern w:val="0"/>
      <w:sz w:val="24"/>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rPr>
  </w:style>
  <w:style w:type="character" w:styleId="aa">
    <w:name w:val="Hyperlink"/>
    <w:basedOn w:val="a0"/>
    <w:qFormat/>
    <w:rPr>
      <w:color w:val="0563C1" w:themeColor="hyperlink"/>
      <w:u w:val="single"/>
    </w:rPr>
  </w:style>
  <w:style w:type="character" w:customStyle="1" w:styleId="10">
    <w:name w:val="不明显参考1"/>
    <w:basedOn w:val="a0"/>
    <w:uiPriority w:val="31"/>
    <w:qFormat/>
    <w:rPr>
      <w:smallCaps/>
      <w:color w:val="595959" w:themeColor="text1" w:themeTint="A6"/>
    </w:rPr>
  </w:style>
  <w:style w:type="character" w:customStyle="1" w:styleId="Char">
    <w:name w:val="批注框文本 Char"/>
    <w:basedOn w:val="a0"/>
    <w:link w:val="a4"/>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style>
  <w:style w:type="paragraph" w:styleId="a4">
    <w:name w:val="Balloon Text"/>
    <w:basedOn w:val="a"/>
    <w:link w:val="Char"/>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jc w:val="left"/>
    </w:pPr>
    <w:rPr>
      <w:rFonts w:cs="Times New Roman"/>
      <w:kern w:val="0"/>
      <w:sz w:val="24"/>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rPr>
  </w:style>
  <w:style w:type="character" w:styleId="aa">
    <w:name w:val="Hyperlink"/>
    <w:basedOn w:val="a0"/>
    <w:qFormat/>
    <w:rPr>
      <w:color w:val="0563C1" w:themeColor="hyperlink"/>
      <w:u w:val="single"/>
    </w:rPr>
  </w:style>
  <w:style w:type="character" w:customStyle="1" w:styleId="10">
    <w:name w:val="不明显参考1"/>
    <w:basedOn w:val="a0"/>
    <w:uiPriority w:val="31"/>
    <w:qFormat/>
    <w:rPr>
      <w:smallCaps/>
      <w:color w:val="595959" w:themeColor="text1" w:themeTint="A6"/>
    </w:rPr>
  </w:style>
  <w:style w:type="character" w:customStyle="1" w:styleId="Char">
    <w:name w:val="批注框文本 Char"/>
    <w:basedOn w:val="a0"/>
    <w:link w:val="a4"/>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6C4C65-A26E-44E2-8A62-0F7A855F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463</Words>
  <Characters>2641</Characters>
  <Application>Microsoft Office Word</Application>
  <DocSecurity>0</DocSecurity>
  <Lines>22</Lines>
  <Paragraphs>6</Paragraphs>
  <ScaleCrop>false</ScaleCrop>
  <Company>Microsoft</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天天快乐</dc:creator>
  <cp:lastModifiedBy>f</cp:lastModifiedBy>
  <cp:revision>85</cp:revision>
  <cp:lastPrinted>2020-07-08T08:47:00Z</cp:lastPrinted>
  <dcterms:created xsi:type="dcterms:W3CDTF">2020-01-04T01:18:00Z</dcterms:created>
  <dcterms:modified xsi:type="dcterms:W3CDTF">2020-07-08T08:58:00Z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