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sz w:val="32"/>
          <w:szCs w:val="32"/>
        </w:rPr>
      </w:pPr>
      <w:r>
        <w:rPr>
          <w:rFonts w:hint="eastAsia" w:ascii="黑体" w:hAnsi="黑体" w:eastAsia="黑体" w:cs="Times New Roman"/>
          <w:sz w:val="32"/>
          <w:szCs w:val="32"/>
        </w:rPr>
        <w:t>附件1</w:t>
      </w:r>
    </w:p>
    <w:p>
      <w:pPr>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山东省人工智能应用场景名单</w:t>
      </w:r>
    </w:p>
    <w:p>
      <w:pPr>
        <w:jc w:val="left"/>
        <w:rPr>
          <w:rFonts w:ascii="Times New Roman" w:hAnsi="Times New Roman" w:eastAsia="仿宋_GB2312" w:cs="Times New Roman"/>
          <w:sz w:val="32"/>
          <w:szCs w:val="32"/>
        </w:rPr>
      </w:pPr>
    </w:p>
    <w:tbl>
      <w:tblPr>
        <w:tblStyle w:val="16"/>
        <w:tblW w:w="10000" w:type="dxa"/>
        <w:jc w:val="center"/>
        <w:tblLayout w:type="autofit"/>
        <w:tblCellMar>
          <w:top w:w="15" w:type="dxa"/>
          <w:left w:w="15" w:type="dxa"/>
          <w:bottom w:w="0" w:type="dxa"/>
          <w:right w:w="15" w:type="dxa"/>
        </w:tblCellMar>
      </w:tblPr>
      <w:tblGrid>
        <w:gridCol w:w="820"/>
        <w:gridCol w:w="1200"/>
        <w:gridCol w:w="3000"/>
        <w:gridCol w:w="3120"/>
        <w:gridCol w:w="1860"/>
      </w:tblGrid>
      <w:tr>
        <w:tblPrEx>
          <w:tblCellMar>
            <w:top w:w="15" w:type="dxa"/>
            <w:left w:w="15" w:type="dxa"/>
            <w:bottom w:w="0" w:type="dxa"/>
            <w:right w:w="15" w:type="dxa"/>
          </w:tblCellMar>
        </w:tblPrEx>
        <w:trPr>
          <w:trHeight w:val="702" w:hRule="atLeast"/>
          <w:tblHeader/>
          <w:jc w:val="center"/>
        </w:trPr>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olor w:val="000000"/>
              </w:rPr>
            </w:pPr>
            <w:r>
              <w:rPr>
                <w:rFonts w:hint="eastAsia" w:ascii="黑体" w:hAnsi="黑体" w:eastAsia="黑体"/>
                <w:color w:val="000000"/>
              </w:rPr>
              <w:t>序号</w:t>
            </w:r>
          </w:p>
        </w:tc>
        <w:tc>
          <w:tcPr>
            <w:tcW w:w="1200"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rPr>
            </w:pPr>
            <w:r>
              <w:rPr>
                <w:rFonts w:hint="eastAsia" w:ascii="黑体" w:hAnsi="黑体" w:eastAsia="黑体"/>
                <w:color w:val="000000"/>
              </w:rPr>
              <w:t>所在地市</w:t>
            </w:r>
          </w:p>
        </w:tc>
        <w:tc>
          <w:tcPr>
            <w:tcW w:w="3000"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rPr>
            </w:pPr>
            <w:r>
              <w:rPr>
                <w:rFonts w:hint="eastAsia" w:ascii="黑体" w:hAnsi="黑体" w:eastAsia="黑体"/>
                <w:color w:val="000000"/>
              </w:rPr>
              <w:t>应用场景名称</w:t>
            </w:r>
          </w:p>
        </w:tc>
        <w:tc>
          <w:tcPr>
            <w:tcW w:w="3120"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rPr>
            </w:pPr>
            <w:r>
              <w:rPr>
                <w:rFonts w:hint="eastAsia" w:ascii="黑体" w:hAnsi="黑体" w:eastAsia="黑体"/>
                <w:color w:val="000000"/>
              </w:rPr>
              <w:t>申报单位名称</w:t>
            </w:r>
          </w:p>
        </w:tc>
        <w:tc>
          <w:tcPr>
            <w:tcW w:w="1860" w:type="dxa"/>
            <w:tcBorders>
              <w:top w:val="single" w:color="auto" w:sz="4" w:space="0"/>
              <w:left w:val="nil"/>
              <w:bottom w:val="single" w:color="auto" w:sz="4" w:space="0"/>
              <w:right w:val="single" w:color="auto" w:sz="4" w:space="0"/>
            </w:tcBorders>
            <w:vAlign w:val="center"/>
          </w:tcPr>
          <w:p>
            <w:pPr>
              <w:jc w:val="center"/>
              <w:rPr>
                <w:rFonts w:ascii="黑体" w:hAnsi="黑体" w:eastAsia="黑体"/>
                <w:color w:val="000000"/>
              </w:rPr>
            </w:pPr>
            <w:r>
              <w:rPr>
                <w:rFonts w:hint="eastAsia" w:ascii="黑体" w:hAnsi="黑体" w:eastAsia="黑体"/>
                <w:color w:val="000000"/>
              </w:rPr>
              <w:t>应用行业领域</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1</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智能制造+基于人工神经网络的设备健康监测与预警</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浪潮通用软件有限公司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hint="eastAsia" w:ascii="Times New Roman" w:hAnsi="Times New Roman" w:eastAsia="黑体" w:cs="Times New Roman"/>
                <w:color w:val="000000"/>
                <w:lang w:val="en-US" w:eastAsia="zh-CN"/>
              </w:rPr>
            </w:pPr>
            <w:r>
              <w:rPr>
                <w:rFonts w:hint="eastAsia" w:ascii="Times New Roman" w:hAnsi="Times New Roman" w:eastAsia="黑体" w:cs="Times New Roman"/>
                <w:color w:val="000000"/>
                <w:lang w:val="en-US" w:eastAsia="zh-CN"/>
              </w:rPr>
              <w:t>2</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钢铁行业+基于工业互联网的智慧工厂数据平台建设场景</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山东有人物联网股份有限公司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hint="eastAsia" w:ascii="Times New Roman" w:hAnsi="Times New Roman" w:eastAsia="黑体" w:cs="Times New Roman"/>
                <w:color w:val="000000"/>
                <w:lang w:val="en-US" w:eastAsia="zh-CN"/>
              </w:rPr>
            </w:pPr>
            <w:r>
              <w:rPr>
                <w:rFonts w:hint="eastAsia" w:ascii="Times New Roman" w:hAnsi="Times New Roman" w:eastAsia="黑体" w:cs="Times New Roman"/>
                <w:color w:val="000000"/>
                <w:lang w:val="en-US" w:eastAsia="zh-CN"/>
              </w:rPr>
              <w:t>3</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先进制造行业+智能焊接系统</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山东奥太电气有限公司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hint="eastAsia" w:ascii="Times New Roman" w:hAnsi="Times New Roman" w:eastAsia="黑体" w:cs="Times New Roman"/>
                <w:color w:val="000000"/>
                <w:lang w:val="en-US" w:eastAsia="zh-CN"/>
              </w:rPr>
            </w:pPr>
            <w:r>
              <w:rPr>
                <w:rFonts w:hint="eastAsia" w:ascii="Times New Roman" w:hAnsi="Times New Roman" w:eastAsia="黑体" w:cs="Times New Roman"/>
                <w:color w:val="000000"/>
                <w:lang w:val="en-US" w:eastAsia="zh-CN"/>
              </w:rPr>
              <w:t>4</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青岛市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制造行业+整车AI质检</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彼图科技（青岛）有限公司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hint="eastAsia" w:ascii="Times New Roman" w:hAnsi="Times New Roman" w:eastAsia="黑体" w:cs="Times New Roman"/>
                <w:color w:val="000000"/>
                <w:lang w:val="en-US" w:eastAsia="zh-CN"/>
              </w:rPr>
            </w:pPr>
            <w:r>
              <w:rPr>
                <w:rFonts w:hint="eastAsia" w:ascii="Times New Roman" w:hAnsi="Times New Roman" w:eastAsia="黑体" w:cs="Times New Roman"/>
                <w:color w:val="000000"/>
                <w:lang w:val="en-US" w:eastAsia="zh-CN"/>
              </w:rPr>
              <w:t>5</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青岛市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制造行业+ AWCS智能仓储管理系统</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青岛云鼎科技有限公司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hint="eastAsia" w:ascii="Times New Roman" w:hAnsi="Times New Roman" w:eastAsia="黑体" w:cs="Times New Roman"/>
                <w:color w:val="000000"/>
                <w:lang w:val="en-US" w:eastAsia="zh-CN"/>
              </w:rPr>
            </w:pPr>
            <w:r>
              <w:rPr>
                <w:rFonts w:hint="eastAsia" w:ascii="Times New Roman" w:hAnsi="Times New Roman" w:eastAsia="黑体" w:cs="Times New Roman"/>
                <w:color w:val="000000"/>
                <w:lang w:val="en-US" w:eastAsia="zh-CN"/>
              </w:rPr>
              <w:t>6</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青岛市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家具制造实木毛坯表面质量视觉检测</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青岛莱普敦家居用品有限公司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hint="eastAsia" w:ascii="Times New Roman" w:hAnsi="Times New Roman" w:eastAsia="黑体" w:cs="Times New Roman"/>
                <w:color w:val="000000"/>
                <w:lang w:val="en-US" w:eastAsia="zh-CN"/>
              </w:rPr>
            </w:pPr>
            <w:r>
              <w:rPr>
                <w:rFonts w:hint="eastAsia" w:ascii="Times New Roman" w:hAnsi="Times New Roman" w:eastAsia="黑体" w:cs="Times New Roman"/>
                <w:color w:val="000000"/>
                <w:lang w:val="en-US" w:eastAsia="zh-CN"/>
              </w:rPr>
              <w:t>7</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青岛市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家电行业+能耗贴全自动打印敷贴（AI-Intvis视觉检测平台）</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青岛中导辰远智能科技有限公司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hint="eastAsia" w:ascii="Times New Roman" w:hAnsi="Times New Roman" w:eastAsia="黑体" w:cs="Times New Roman"/>
                <w:color w:val="000000"/>
                <w:lang w:val="en-US" w:eastAsia="zh-CN"/>
              </w:rPr>
            </w:pPr>
            <w:r>
              <w:rPr>
                <w:rFonts w:hint="eastAsia" w:ascii="Times New Roman" w:hAnsi="Times New Roman" w:eastAsia="黑体" w:cs="Times New Roman"/>
                <w:color w:val="000000"/>
                <w:lang w:val="en-US" w:eastAsia="zh-CN"/>
              </w:rPr>
              <w:t>8</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青岛市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工业虚拟数字人智能感知系统</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青岛中导辰远智能科技有限公司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hint="eastAsia" w:ascii="Times New Roman" w:hAnsi="Times New Roman" w:eastAsia="黑体" w:cs="Times New Roman"/>
                <w:color w:val="000000"/>
                <w:lang w:val="en-US" w:eastAsia="zh-CN"/>
              </w:rPr>
            </w:pPr>
            <w:r>
              <w:rPr>
                <w:rFonts w:hint="eastAsia" w:ascii="Times New Roman" w:hAnsi="Times New Roman" w:eastAsia="黑体" w:cs="Times New Roman"/>
                <w:color w:val="000000"/>
                <w:lang w:val="en-US" w:eastAsia="zh-CN"/>
              </w:rPr>
              <w:t>9</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淄博市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医疗器械全自动化生产场景</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淄博侨森医疗用品股份有限公司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黑体" w:cs="Times New Roman"/>
                <w:color w:val="000000"/>
                <w:lang w:val="en-US" w:eastAsia="zh-CN"/>
              </w:rPr>
            </w:pPr>
            <w:r>
              <w:rPr>
                <w:rFonts w:hint="eastAsia" w:ascii="Times New Roman" w:hAnsi="Times New Roman" w:eastAsia="黑体" w:cs="Times New Roman"/>
                <w:color w:val="000000"/>
                <w:lang w:val="en-US" w:eastAsia="zh-CN"/>
              </w:rPr>
              <w:t>10</w:t>
            </w:r>
          </w:p>
        </w:tc>
        <w:tc>
          <w:tcPr>
            <w:tcW w:w="1200" w:type="dxa"/>
            <w:tcBorders>
              <w:top w:val="nil"/>
              <w:left w:val="nil"/>
              <w:bottom w:val="single" w:color="auto" w:sz="4" w:space="0"/>
              <w:right w:val="single" w:color="auto" w:sz="4" w:space="0"/>
            </w:tcBorders>
            <w:vAlign w:val="center"/>
          </w:tcPr>
          <w:p>
            <w:pPr>
              <w:jc w:val="center"/>
              <w:rPr>
                <w:rFonts w:hint="eastAsia" w:ascii="仿宋_GB2312" w:hAnsi="黑体" w:eastAsia="仿宋_GB2312" w:cstheme="minorBidi"/>
                <w:kern w:val="2"/>
                <w:sz w:val="22"/>
                <w:szCs w:val="22"/>
                <w:lang w:val="en-US" w:eastAsia="zh-CN" w:bidi="ar-SA"/>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hint="eastAsia" w:ascii="仿宋_GB2312" w:hAnsi="黑体" w:eastAsia="仿宋_GB2312" w:cstheme="minorBidi"/>
                <w:color w:val="000000"/>
                <w:kern w:val="2"/>
                <w:sz w:val="20"/>
                <w:szCs w:val="20"/>
                <w:lang w:val="en-US" w:eastAsia="zh-CN" w:bidi="ar-SA"/>
              </w:rPr>
            </w:pPr>
            <w:r>
              <w:rPr>
                <w:rFonts w:hint="eastAsia" w:ascii="仿宋_GB2312" w:hAnsi="黑体" w:eastAsia="仿宋_GB2312"/>
                <w:color w:val="000000"/>
                <w:sz w:val="20"/>
                <w:szCs w:val="20"/>
              </w:rPr>
              <w:t>基于AI深度学习生产质量管控实时分析决策</w:t>
            </w:r>
          </w:p>
        </w:tc>
        <w:tc>
          <w:tcPr>
            <w:tcW w:w="3120" w:type="dxa"/>
            <w:tcBorders>
              <w:top w:val="nil"/>
              <w:left w:val="nil"/>
              <w:bottom w:val="single" w:color="auto" w:sz="4" w:space="0"/>
              <w:right w:val="single" w:color="auto" w:sz="4" w:space="0"/>
            </w:tcBorders>
            <w:vAlign w:val="center"/>
          </w:tcPr>
          <w:p>
            <w:pPr>
              <w:jc w:val="center"/>
              <w:rPr>
                <w:rFonts w:hint="eastAsia" w:ascii="仿宋_GB2312" w:hAnsi="黑体" w:eastAsia="仿宋_GB2312" w:cstheme="minorBidi"/>
                <w:color w:val="000000"/>
                <w:kern w:val="2"/>
                <w:sz w:val="22"/>
                <w:szCs w:val="22"/>
                <w:lang w:val="en-US" w:eastAsia="zh-CN" w:bidi="ar-SA"/>
              </w:rPr>
            </w:pPr>
            <w:r>
              <w:rPr>
                <w:rFonts w:hint="eastAsia" w:ascii="仿宋_GB2312" w:hAnsi="黑体" w:eastAsia="仿宋_GB2312"/>
                <w:color w:val="000000"/>
                <w:sz w:val="22"/>
                <w:szCs w:val="22"/>
              </w:rPr>
              <w:t>浪潮通用软件有限公司</w:t>
            </w:r>
          </w:p>
        </w:tc>
        <w:tc>
          <w:tcPr>
            <w:tcW w:w="1860" w:type="dxa"/>
            <w:tcBorders>
              <w:top w:val="nil"/>
              <w:left w:val="nil"/>
              <w:bottom w:val="single" w:color="auto" w:sz="4" w:space="0"/>
              <w:right w:val="single" w:color="auto" w:sz="4" w:space="0"/>
            </w:tcBorders>
            <w:vAlign w:val="center"/>
          </w:tcPr>
          <w:p>
            <w:pPr>
              <w:jc w:val="center"/>
              <w:rPr>
                <w:rFonts w:hint="eastAsia" w:ascii="仿宋_GB2312" w:hAnsi="黑体" w:eastAsia="仿宋_GB2312" w:cstheme="minorBidi"/>
                <w:kern w:val="2"/>
                <w:sz w:val="22"/>
                <w:szCs w:val="22"/>
                <w:lang w:val="en-US" w:eastAsia="zh-CN" w:bidi="ar-SA"/>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11</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淄博市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工业互联网全自动智能制造生产线</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山东统一陶瓷科技有限公司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12</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枣庄市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智能制造 基于数字孪生技术的示教器终端系统的场景应用</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北一（山东）工业科技股份有限公司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13</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东营市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橡胶和塑料制品行业+智能工厂</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山东万达宝通轮胎有限公司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14</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东营市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基于工业</w:t>
            </w:r>
            <w:r>
              <w:rPr>
                <w:rFonts w:hint="eastAsia" w:ascii="仿宋_GB2312" w:hAnsi="黑体" w:eastAsia="仿宋_GB2312"/>
                <w:sz w:val="20"/>
                <w:szCs w:val="20"/>
                <w:lang w:eastAsia="zh-Hans"/>
              </w:rPr>
              <w:t>智能</w:t>
            </w:r>
            <w:r>
              <w:rPr>
                <w:rFonts w:hint="eastAsia" w:ascii="仿宋_GB2312" w:hAnsi="黑体" w:eastAsia="仿宋_GB2312"/>
                <w:sz w:val="20"/>
                <w:szCs w:val="20"/>
              </w:rPr>
              <w:t>视觉</w:t>
            </w:r>
            <w:r>
              <w:rPr>
                <w:rFonts w:hint="eastAsia" w:ascii="仿宋_GB2312" w:hAnsi="黑体" w:eastAsia="仿宋_GB2312"/>
                <w:sz w:val="20"/>
                <w:szCs w:val="20"/>
                <w:lang w:eastAsia="zh-Hans"/>
              </w:rPr>
              <w:t>的产品外观检测</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山东胜软科技股份有限公司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15</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东营市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石化行业+全流程智能控制</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齐成（山东）石化集团有限公司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16</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烟台市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绿色云能源互联网生态平台</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东方电子股份有限公司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17</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烟台市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工程机械制造行业 智慧现场管理平台</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烟台艾迪精密机械股份有限公司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18</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烟台市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不锈钢制造业 烟台炼钢L1.5系统改造</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烟台华新不锈钢有限公司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19</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潍坊市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汽车制造业+基于全价值链的福田汽车工业互联网平台”</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0"/>
                <w:szCs w:val="20"/>
              </w:rPr>
            </w:pPr>
            <w:r>
              <w:rPr>
                <w:rFonts w:hint="eastAsia" w:ascii="仿宋_GB2312" w:hAnsi="黑体" w:eastAsia="仿宋_GB2312"/>
                <w:sz w:val="20"/>
                <w:szCs w:val="20"/>
              </w:rPr>
              <w:t>北汽福田汽车股份有限公司时代领航卡车工厂</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20</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潍坊市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磁悬浮动力装备人工智能故障诊断与寿命分析</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山东天瑞重工有限公司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21</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济宁市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钢结构行业+钢结构构件智能化生产场景</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山东华亿钢机股份有限公司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22</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泰安市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家具制造业-全屋定制柔性化智慧工厂</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山东大唐宅配家居有限公司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23</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泰安市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水泥制造行业+5G智能矿山</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泰安中联水泥有限公司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24</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威海市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智能制造行业+可视化智能管理平台建设案例</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威海宝威新材料科技有限公司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25</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日照市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创泽智能服务机器人</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创泽智能机器人集团股份有限公司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26</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日照市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智能制造-荣信集团智慧供应链</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山东荣信水产食品集团股份有限公司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27</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德州市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智能制造行业+集约式预制构件智能生产线</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德州海天机电科技有限公司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28</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德州市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智能制造行业+大输液软袋智能检测设备</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德州深华光电科技有限公司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29</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菏泽市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智能制造行业自动化注塑生产</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山东好朋友生物科技有限公司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30</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菏泽市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智能制造行业+气动元件自动化工作站</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山东百帝气动科技股份有限公司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31</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济宁市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联诚精密智能制造</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山东联诚精密制造股份有限公司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32</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医疗器械行业全链条智能服务平台</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山东博科科学仪器有限公司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33</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医疗行业视觉SPD智能应用场量</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润智龙(山东）科技服务集团有限公司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34</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智能制造产线AI巡检机器人</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山东新一代信息产业技术研究院有限公司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35</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济宁市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环保抑尘智能防控关键技术研发与产业化应用</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山东华力机电有限公司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36</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人工智能+智慧能源在迅风电子产业园的示范应用</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迅风电子股份有限公司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37</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钢铁行业新型钢板表面缺陷高精度智能检测系统</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山东泰金精锻股份有限公司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38</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青岛市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汽车零部件行业AI数字孪生工厂</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w w:val="87"/>
                <w:sz w:val="22"/>
                <w:szCs w:val="22"/>
              </w:rPr>
              <w:t>青岛创新奇智科技集团股份有限公司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39</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青岛市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复合材料行业CFRT 片材瑕疵AI检测</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青岛创新奇智科技集团股份有限公司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40</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淄博市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新材料基于高耐热冲击钢化玻璃餐具关键工艺技术的研发管理技术项目应用场景</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淄博博山孟友钢化玻璃制品厂</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41</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青岛市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废旧轮胎绿色生态循环利用远程运维RCOS Plat平台应用</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青岛星华智能装备有限公司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智能制造</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42</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德州市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消防排烟生产场景</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亚萨合莱国强（山东）五金科技有限公司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43</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w w:val="90"/>
                <w:sz w:val="20"/>
                <w:szCs w:val="20"/>
              </w:rPr>
              <w:t>安防行业+能源行业生产作业场所员工行为规范与生产环境安全检测</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山东中维世纪科技股份有限公司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44</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低碳园区综合能源系统研究</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山东电工电气集团有限公司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45</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烟台市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智能制造+工业视觉质检</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山东汉鑫科技股份有限公司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46</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潍坊市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5G+工业互联网平台</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山东新龙集团有限公司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47</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济宁市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装备制造业+基于人工智能识别预测实现智慧生产管理</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山东经典重工集团股份有限公司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48</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济宁市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智能矿山产品智能工厂</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山东中煤工矿物资集团有限公司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49</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电力行业基于边缘计算的电缆通道综合监控应用</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山东科华电力技术有限公司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50</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安全生产+智能化新媒体内容风控监测与管理平台</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山东舜网传媒股份有限公司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51</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智慧加油站 博观加油站智能视频监管系统解决方案</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济南博观智能科技有限公司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52</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制造行业+智能巡检监测系统</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山东微笑集成科技有限公司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53</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东营市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危化品安全生产行业安全生产信息化技术应用</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东营市海科瑞林化工有限公司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54</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济宁市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煤矿掘进作业-掘锚机器人</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山东天河科技股份有限公司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55</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大数据人工智能分类分级</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济南慧天云海信息技术有限公司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56</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制造行业安全生产平台</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济南二机床集团有限公司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仿宋_GB2312" w:hAnsi="黑体" w:eastAsia="仿宋_GB2312"/>
                <w:sz w:val="20"/>
                <w:szCs w:val="20"/>
              </w:rPr>
            </w:pPr>
            <w:r>
              <w:rPr>
                <w:rFonts w:ascii="Times New Roman" w:hAnsi="Times New Roman" w:eastAsia="黑体" w:cs="Times New Roman"/>
                <w:color w:val="000000"/>
              </w:rPr>
              <w:t>57</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0"/>
                <w:szCs w:val="20"/>
              </w:rPr>
            </w:pPr>
            <w:r>
              <w:rPr>
                <w:rFonts w:hint="eastAsia" w:ascii="仿宋_GB2312" w:hAnsi="黑体" w:eastAsia="仿宋_GB2312"/>
                <w:sz w:val="22"/>
                <w:szCs w:val="22"/>
              </w:rPr>
              <w:t>青岛市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电力行业安全行为识别系统</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青岛旭辉软件有限公司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58</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潍坊市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消防行业+山东省消防维保监督系统</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潍坊市平安消防工程有限公司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59</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淄博市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化工行业模式化大数据分析应用</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蓝星智云（山东）智能科技有限公司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60</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智慧混凝土搅拌设备远程控制系统</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山推建友机械股份有限公司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61</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淄博市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电力行业变电站智能巡视</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智洋创新科技股份有限公司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62</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泰安市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2"/>
                <w:szCs w:val="22"/>
              </w:rPr>
            </w:pPr>
            <w:r>
              <w:rPr>
                <w:rFonts w:hint="eastAsia" w:ascii="仿宋_GB2312" w:hAnsi="黑体" w:eastAsia="仿宋_GB2312"/>
                <w:sz w:val="22"/>
                <w:szCs w:val="22"/>
              </w:rPr>
              <w:t>安全生产信息化应用场景</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山东省联合农药工业有限公司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安全生产</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63</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医疗健康行业+智能慢病管控服务平台</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众阳健康科技集团有限公司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智慧医疗</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64</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基于大数据和人工智能的智慧疾控应用服务平台</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浪潮软件科技有限公司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智慧医疗</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65</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医学影像智能诊断系统</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山东数字人科技股份有限公司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智慧医疗</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66</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智慧医疗+病理免疫组化定量评价系统</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山东云旗信息科技有限公司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智慧医疗</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67</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智慧医疗行业人工智能安全风险感知与防控应用</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山东润一智能科技有限公司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智慧医疗</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68</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智慧医疗行业＋基于生物识别技术的智慧就医解决方案</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神思（山东）医疗信息技术有限责任公司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智慧医疗</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69</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智能AI识别技术在医疗教学模拟机行业的应用</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山东中飞科技有限公司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智慧医疗</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70</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青岛市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基于5G互联网及人工智能的消化内镜质量控制</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青岛美迪康数字工程有限公司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智慧医疗</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71</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青岛市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青岛西海岸新区人工智能医疗服务平台</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青岛商汤科技有限公司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智慧医疗</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72</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淄博市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智慧医疗行业+云枢病房服务交互系统</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山东亚华电子股份有限公司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智慧医疗</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73</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烟台市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医疗行业 智能超长程无创心脏监测系统</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山东正心医疗科技有限公司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智慧医疗</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74</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潍坊市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康复医疗行业—ZEPU AI康复机器人智慧港</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山东泽普医疗科技有限公司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智慧医疗</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75</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面向分级诊疗的医疗人工智能服务平台</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众阳健康科技集团有限公司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智慧医疗</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76</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新一代信息技术行业+“室外低温环境人体精准测温场景”</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山东天用智能技术有限公司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智慧医疗</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77</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医疗行业+基于AI的全自动细胞制备系统的研发与应用</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济南创泽生物医药科技有限公司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智慧医疗</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78</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w w:val="90"/>
                <w:sz w:val="20"/>
                <w:szCs w:val="20"/>
              </w:rPr>
              <w:t>智慧医养行业+非接触/非视觉老年人看护系统在养老院场景的应用</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山东沃尔德生物技术有限公司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智慧家居</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79</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青岛市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智能家居行业家庭大脑应用示范场景</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青岛海尔科技有限公司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智慧家居</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80</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青岛市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5G人工智能智慧社区</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青岛文达通科技股份有限公司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智能家居</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81</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智能轨道交通+智能视觉识别</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和远智能科技股份有限公司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智能交通</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82</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交通行业+济南创新谷智慧园区场景示范</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北京理工大学前沿技术研究院</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智能交通</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83</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交通行业高速公路养护施工安全智能监测场景</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山东奥邦交通设施工程有限公司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智能交通</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84</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变速箱装配线数字化车间建设</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中国重汽集团济南动力有限公司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智能交通</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85</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青岛市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智能交通行业基于AI的智慧交管场景化指挥技术研究与应用</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青岛海信网络科技股份有限公司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智能交通</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86</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青岛市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数字城市（行业）+无人机“智慧低空全域智能感知”应用场景</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青岛云世纪信息科技有限公司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智能交通</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87</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青岛市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交通行业-图灵全场景AI感知赋能交通安全“智”理</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青岛图灵科技有限公司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智能交通</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88</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青岛市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智慧航空行业-机场机坪飞行区场景</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青岛高重信息科技有限公司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智能交通</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89</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青岛市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海洋行业智慧渔船渔港管理场景</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青岛励图高科信息技术有限公司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智慧政务</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仿宋_GB2312" w:hAnsi="黑体" w:eastAsia="仿宋_GB2312"/>
                <w:sz w:val="22"/>
                <w:szCs w:val="22"/>
              </w:rPr>
            </w:pPr>
            <w:r>
              <w:rPr>
                <w:rFonts w:ascii="仿宋_GB2312" w:hAnsi="黑体" w:eastAsia="仿宋_GB2312"/>
                <w:sz w:val="22"/>
                <w:szCs w:val="22"/>
              </w:rPr>
              <w:t>90</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聊城市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平面移动类智能立体车库及</w:t>
            </w:r>
            <w:r>
              <w:rPr>
                <w:rFonts w:ascii="仿宋_GB2312" w:hAnsi="黑体" w:eastAsia="仿宋_GB2312"/>
                <w:color w:val="000000"/>
                <w:sz w:val="20"/>
                <w:szCs w:val="20"/>
              </w:rPr>
              <w:t>AGV</w:t>
            </w:r>
            <w:r>
              <w:rPr>
                <w:rFonts w:hint="eastAsia" w:ascii="仿宋_GB2312" w:hAnsi="黑体" w:eastAsia="仿宋_GB2312"/>
                <w:color w:val="000000"/>
                <w:sz w:val="20"/>
                <w:szCs w:val="20"/>
              </w:rPr>
              <w:t>汽车搬运机器人应用场景</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山东九路泊车设备股份有限公司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智能交通</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仿宋_GB2312" w:hAnsi="黑体" w:eastAsia="仿宋_GB2312"/>
                <w:sz w:val="22"/>
                <w:szCs w:val="22"/>
              </w:rPr>
            </w:pPr>
            <w:r>
              <w:rPr>
                <w:rFonts w:ascii="仿宋_GB2312" w:hAnsi="黑体" w:eastAsia="仿宋_GB2312"/>
                <w:sz w:val="22"/>
                <w:szCs w:val="22"/>
              </w:rPr>
              <w:t>91</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滨州市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大宗商品物流+铁路智能园区场景</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山东京博物流股份有限公司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智能交通</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92</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泰安市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大数据行业+数字应急综合管理平台</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山东征途信息科技股份有限公司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智慧政务</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93</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政务行业智能咨询解决方案</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神思电子技术股份有限公司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智慧政务</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94</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森普政务+社会治理云平台</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山东森普信息技术有限公司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智慧政务</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95</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泰安市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数字政府行业浪潮智能政务服务平台</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浪潮软件股份有限公司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智慧政务</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96</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泰安市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政企一体化办公平台全业务智能问答系统</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浪潮软件股份有限公司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智慧政务</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hint="eastAsia" w:ascii="Times New Roman" w:hAnsi="Times New Roman" w:eastAsia="黑体" w:cs="Times New Roman"/>
                <w:color w:val="000000"/>
              </w:rPr>
              <w:t>97</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潍坊市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智慧水务+供水管网漏损监控大数据分析</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山东潍微科技股份有限公司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智慧政务</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98</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信息技术服务业——顺势AI学习系统</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山东顺势教育科技集团有限公司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其他</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99</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color w:val="000000"/>
                <w:sz w:val="20"/>
                <w:szCs w:val="20"/>
              </w:rPr>
            </w:pPr>
            <w:r>
              <w:rPr>
                <w:rFonts w:hint="eastAsia" w:ascii="仿宋_GB2312" w:hAnsi="黑体" w:eastAsia="仿宋_GB2312"/>
                <w:color w:val="000000"/>
                <w:sz w:val="20"/>
                <w:szCs w:val="20"/>
              </w:rPr>
              <w:t>农业+基于边缘计算的重大虫害智能测控系统</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山东祥辰科技集团有限公司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其他</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100</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潍坊市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智慧农场行业物联网应用寿光智脑项目应用场景</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山东物泽生态农业科技发展有限公司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其他</w:t>
            </w:r>
          </w:p>
        </w:tc>
      </w:tr>
      <w:tr>
        <w:tblPrEx>
          <w:tblCellMar>
            <w:top w:w="15" w:type="dxa"/>
            <w:left w:w="15" w:type="dxa"/>
            <w:bottom w:w="0" w:type="dxa"/>
            <w:right w:w="15" w:type="dxa"/>
          </w:tblCellMar>
        </w:tblPrEx>
        <w:trPr>
          <w:trHeight w:val="567" w:hRule="atLeast"/>
          <w:jc w:val="center"/>
        </w:trPr>
        <w:tc>
          <w:tcPr>
            <w:tcW w:w="820"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101</w:t>
            </w:r>
          </w:p>
        </w:tc>
        <w:tc>
          <w:tcPr>
            <w:tcW w:w="120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济南市</w:t>
            </w:r>
          </w:p>
        </w:tc>
        <w:tc>
          <w:tcPr>
            <w:tcW w:w="3000" w:type="dxa"/>
            <w:tcBorders>
              <w:top w:val="nil"/>
              <w:left w:val="nil"/>
              <w:bottom w:val="single" w:color="auto" w:sz="4" w:space="0"/>
              <w:right w:val="single" w:color="auto" w:sz="4" w:space="0"/>
            </w:tcBorders>
            <w:vAlign w:val="center"/>
          </w:tcPr>
          <w:p>
            <w:pPr>
              <w:rPr>
                <w:rFonts w:ascii="仿宋_GB2312" w:hAnsi="黑体" w:eastAsia="仿宋_GB2312"/>
                <w:sz w:val="20"/>
                <w:szCs w:val="20"/>
              </w:rPr>
            </w:pPr>
            <w:r>
              <w:rPr>
                <w:rFonts w:hint="eastAsia" w:ascii="仿宋_GB2312" w:hAnsi="黑体" w:eastAsia="仿宋_GB2312"/>
                <w:sz w:val="20"/>
                <w:szCs w:val="20"/>
              </w:rPr>
              <w:t>新一代信息技术+智慧餐厅通用技术系统</w:t>
            </w:r>
          </w:p>
        </w:tc>
        <w:tc>
          <w:tcPr>
            <w:tcW w:w="3120" w:type="dxa"/>
            <w:tcBorders>
              <w:top w:val="nil"/>
              <w:left w:val="nil"/>
              <w:bottom w:val="single" w:color="auto" w:sz="4" w:space="0"/>
              <w:right w:val="single" w:color="auto" w:sz="4" w:space="0"/>
            </w:tcBorders>
            <w:vAlign w:val="center"/>
          </w:tcPr>
          <w:p>
            <w:pPr>
              <w:jc w:val="center"/>
              <w:rPr>
                <w:rFonts w:ascii="仿宋_GB2312" w:hAnsi="黑体" w:eastAsia="仿宋_GB2312"/>
                <w:sz w:val="22"/>
                <w:szCs w:val="22"/>
              </w:rPr>
            </w:pPr>
            <w:r>
              <w:rPr>
                <w:rFonts w:hint="eastAsia" w:ascii="仿宋_GB2312" w:hAnsi="黑体" w:eastAsia="仿宋_GB2312"/>
                <w:sz w:val="22"/>
                <w:szCs w:val="22"/>
              </w:rPr>
              <w:t>山东和合信息科技有限公司</w:t>
            </w:r>
          </w:p>
        </w:tc>
        <w:tc>
          <w:tcPr>
            <w:tcW w:w="1860" w:type="dxa"/>
            <w:tcBorders>
              <w:top w:val="nil"/>
              <w:left w:val="nil"/>
              <w:bottom w:val="single" w:color="auto" w:sz="4" w:space="0"/>
              <w:right w:val="single" w:color="auto" w:sz="4" w:space="0"/>
            </w:tcBorders>
            <w:vAlign w:val="center"/>
          </w:tcPr>
          <w:p>
            <w:pPr>
              <w:jc w:val="center"/>
              <w:rPr>
                <w:rFonts w:ascii="仿宋_GB2312" w:hAnsi="黑体" w:eastAsia="仿宋_GB2312"/>
                <w:color w:val="000000"/>
                <w:sz w:val="22"/>
                <w:szCs w:val="22"/>
              </w:rPr>
            </w:pPr>
            <w:r>
              <w:rPr>
                <w:rFonts w:hint="eastAsia" w:ascii="仿宋_GB2312" w:hAnsi="黑体" w:eastAsia="仿宋_GB2312"/>
                <w:color w:val="000000"/>
                <w:sz w:val="22"/>
                <w:szCs w:val="22"/>
              </w:rPr>
              <w:t>其他</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MzMxNzg3NDJjYmIzYTBiOWRkOWMwMjEwMTY0NzEifQ=="/>
  </w:docVars>
  <w:rsids>
    <w:rsidRoot w:val="008C3BBB"/>
    <w:rsid w:val="000018A4"/>
    <w:rsid w:val="000A3F9D"/>
    <w:rsid w:val="00164C7A"/>
    <w:rsid w:val="001E63B1"/>
    <w:rsid w:val="00287304"/>
    <w:rsid w:val="00334557"/>
    <w:rsid w:val="00461270"/>
    <w:rsid w:val="00671C52"/>
    <w:rsid w:val="006B5FBF"/>
    <w:rsid w:val="008C3BBB"/>
    <w:rsid w:val="00AA269D"/>
    <w:rsid w:val="00B64D25"/>
    <w:rsid w:val="00BC55A8"/>
    <w:rsid w:val="00CE744E"/>
    <w:rsid w:val="00E31406"/>
    <w:rsid w:val="00F85E72"/>
    <w:rsid w:val="025739FF"/>
    <w:rsid w:val="03C53455"/>
    <w:rsid w:val="12384D02"/>
    <w:rsid w:val="18BC5F12"/>
    <w:rsid w:val="2BB4516F"/>
    <w:rsid w:val="36D317EB"/>
    <w:rsid w:val="3AEF34DD"/>
    <w:rsid w:val="43804CAD"/>
    <w:rsid w:val="468B5AEE"/>
    <w:rsid w:val="4D815C3E"/>
    <w:rsid w:val="545B3055"/>
    <w:rsid w:val="5C3D420E"/>
    <w:rsid w:val="5C654D27"/>
    <w:rsid w:val="632315A2"/>
    <w:rsid w:val="65A94E8C"/>
    <w:rsid w:val="6CB3123E"/>
    <w:rsid w:val="76D81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0"/>
    <w:rPr>
      <w:rFonts w:ascii="Arial" w:hAnsi="Arial" w:eastAsia="宋体" w:cs="Times New Roman"/>
      <w:sz w:val="24"/>
      <w:szCs w:val="20"/>
    </w:rPr>
  </w:style>
  <w:style w:type="paragraph" w:styleId="5">
    <w:name w:val="Body Text"/>
    <w:basedOn w:val="1"/>
    <w:next w:val="6"/>
    <w:qFormat/>
    <w:uiPriority w:val="0"/>
    <w:rPr>
      <w:rFonts w:ascii="Calibri" w:hAnsi="Calibri" w:eastAsia="宋体" w:cs="宋体"/>
      <w:sz w:val="30"/>
    </w:rPr>
  </w:style>
  <w:style w:type="paragraph" w:styleId="6">
    <w:name w:val="index 7"/>
    <w:basedOn w:val="1"/>
    <w:next w:val="1"/>
    <w:qFormat/>
    <w:uiPriority w:val="0"/>
    <w:pPr>
      <w:ind w:left="1200" w:leftChars="1200"/>
    </w:pPr>
    <w:rPr>
      <w:rFonts w:ascii="Times New Roman" w:hAnsi="Times New Roman" w:eastAsia="宋体" w:cs="Times New Roman"/>
    </w:rPr>
  </w:style>
  <w:style w:type="paragraph" w:styleId="7">
    <w:name w:val="Body Text Indent"/>
    <w:basedOn w:val="1"/>
    <w:next w:val="8"/>
    <w:qFormat/>
    <w:uiPriority w:val="0"/>
    <w:pPr>
      <w:spacing w:after="120"/>
      <w:ind w:left="420" w:leftChars="200"/>
    </w:pPr>
  </w:style>
  <w:style w:type="paragraph" w:styleId="8">
    <w:name w:val="Body Text Indent 2"/>
    <w:basedOn w:val="1"/>
    <w:next w:val="9"/>
    <w:qFormat/>
    <w:uiPriority w:val="99"/>
    <w:pPr>
      <w:adjustRightInd w:val="0"/>
      <w:snapToGrid w:val="0"/>
      <w:spacing w:afterLines="25" w:line="420" w:lineRule="exact"/>
      <w:ind w:left="778" w:leftChars="378"/>
    </w:pPr>
    <w:rPr>
      <w:sz w:val="24"/>
      <w:szCs w:val="30"/>
    </w:rPr>
  </w:style>
  <w:style w:type="paragraph" w:customStyle="1" w:styleId="9">
    <w:name w:val="目录 71"/>
    <w:basedOn w:val="1"/>
    <w:next w:val="1"/>
    <w:qFormat/>
    <w:uiPriority w:val="0"/>
    <w:pPr>
      <w:ind w:left="2520"/>
    </w:pPr>
    <w:rPr>
      <w:rFonts w:hAnsi="宋体" w:cs="宋体"/>
      <w:szCs w:val="20"/>
    </w:rPr>
  </w:style>
  <w:style w:type="paragraph" w:styleId="10">
    <w:name w:val="Date"/>
    <w:basedOn w:val="1"/>
    <w:next w:val="1"/>
    <w:link w:val="18"/>
    <w:qFormat/>
    <w:uiPriority w:val="0"/>
    <w:pPr>
      <w:ind w:left="100" w:leftChars="2500"/>
    </w:pPr>
  </w:style>
  <w:style w:type="paragraph" w:styleId="11">
    <w:name w:val="Balloon Text"/>
    <w:basedOn w:val="1"/>
    <w:link w:val="22"/>
    <w:qFormat/>
    <w:uiPriority w:val="0"/>
    <w:rPr>
      <w:sz w:val="18"/>
      <w:szCs w:val="18"/>
    </w:rPr>
  </w:style>
  <w:style w:type="paragraph" w:styleId="12">
    <w:name w:val="toc 1"/>
    <w:basedOn w:val="1"/>
    <w:next w:val="1"/>
    <w:qFormat/>
    <w:uiPriority w:val="0"/>
    <w:rPr>
      <w:rFonts w:ascii="Calibri" w:hAnsi="Calibri" w:eastAsia="宋体" w:cs="Times New Roman"/>
    </w:rPr>
  </w:style>
  <w:style w:type="paragraph" w:styleId="13">
    <w:name w:val="Normal (Web)"/>
    <w:basedOn w:val="1"/>
    <w:semiHidden/>
    <w:unhideWhenUsed/>
    <w:qFormat/>
    <w:uiPriority w:val="99"/>
    <w:pPr>
      <w:spacing w:beforeAutospacing="1" w:afterAutospacing="1"/>
      <w:jc w:val="left"/>
    </w:pPr>
    <w:rPr>
      <w:rFonts w:cs="Times New Roman"/>
      <w:kern w:val="0"/>
      <w:sz w:val="24"/>
    </w:rPr>
  </w:style>
  <w:style w:type="paragraph" w:styleId="14">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15">
    <w:name w:val="Body Text First Indent 2"/>
    <w:basedOn w:val="7"/>
    <w:next w:val="1"/>
    <w:qFormat/>
    <w:uiPriority w:val="0"/>
    <w:pPr>
      <w:ind w:firstLine="420"/>
    </w:pPr>
  </w:style>
  <w:style w:type="character" w:customStyle="1" w:styleId="18">
    <w:name w:val="日期 Char"/>
    <w:basedOn w:val="17"/>
    <w:link w:val="10"/>
    <w:qFormat/>
    <w:uiPriority w:val="0"/>
    <w:rPr>
      <w:kern w:val="2"/>
      <w:sz w:val="21"/>
      <w:szCs w:val="24"/>
    </w:rPr>
  </w:style>
  <w:style w:type="paragraph" w:customStyle="1" w:styleId="1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Table Paragraph"/>
    <w:basedOn w:val="1"/>
    <w:qFormat/>
    <w:uiPriority w:val="0"/>
    <w:rPr>
      <w:rFonts w:ascii="Times New Roman" w:hAnsi="Times New Roman" w:eastAsia="宋体" w:cs="Times New Roman"/>
    </w:rPr>
  </w:style>
  <w:style w:type="paragraph" w:customStyle="1" w:styleId="21">
    <w:name w:val="Default"/>
    <w:qFormat/>
    <w:uiPriority w:val="0"/>
    <w:pPr>
      <w:widowControl w:val="0"/>
      <w:autoSpaceDE w:val="0"/>
      <w:autoSpaceDN w:val="0"/>
      <w:ind w:firstLine="5120"/>
    </w:pPr>
    <w:rPr>
      <w:rFonts w:ascii="黑体" w:hAnsi="Times New Roman" w:eastAsia="宋体" w:cs="Times New Roman"/>
      <w:lang w:val="en-US" w:eastAsia="zh-CN" w:bidi="ar-SA"/>
    </w:rPr>
  </w:style>
  <w:style w:type="character" w:customStyle="1" w:styleId="22">
    <w:name w:val="批注框文本 Char"/>
    <w:basedOn w:val="17"/>
    <w:link w:val="11"/>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3844</Words>
  <Characters>3985</Characters>
  <Lines>320</Lines>
  <Paragraphs>90</Paragraphs>
  <TotalTime>12</TotalTime>
  <ScaleCrop>false</ScaleCrop>
  <LinksUpToDate>false</LinksUpToDate>
  <CharactersWithSpaces>3994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2023-04-20T01:29:00Z</dcterms:created>
  <dc:creator>123</dc:creator>
  <cp:lastModifiedBy>小王</cp:lastModifiedBy>
  <cp:lastPrinted>2023-04-21T03:12:00Z</cp:lastPrinted>
  <dcterms:modified xsi:type="dcterms:W3CDTF">2023-04-26T02:06:32Z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5D366F9A1FF441218D56C5F1470E77C8_12</vt:lpwstr>
  </property>
</Properties>
</file>