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F1E7F" w14:textId="77777777" w:rsidR="0004221F" w:rsidRDefault="00000000">
      <w:pPr>
        <w:jc w:val="left"/>
        <w:outlineLvl w:val="1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</w:t>
      </w:r>
      <w:r>
        <w:rPr>
          <w:rFonts w:ascii="Times New Roman" w:eastAsia="黑体" w:hAnsi="Times New Roman" w:cs="Times New Roman" w:hint="eastAsia"/>
          <w:sz w:val="32"/>
          <w:szCs w:val="32"/>
        </w:rPr>
        <w:t>件</w:t>
      </w:r>
      <w:r>
        <w:rPr>
          <w:rFonts w:ascii="Times New Roman" w:eastAsia="黑体" w:hAnsi="Times New Roman" w:cs="Times New Roman" w:hint="eastAsia"/>
          <w:sz w:val="32"/>
          <w:szCs w:val="32"/>
        </w:rPr>
        <w:t>3</w:t>
      </w:r>
    </w:p>
    <w:p w14:paraId="2901E294" w14:textId="77777777" w:rsidR="0004221F" w:rsidRDefault="00000000">
      <w:pPr>
        <w:jc w:val="center"/>
        <w:outlineLvl w:val="1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绿色供应链管理企业评价要求</w:t>
      </w:r>
    </w:p>
    <w:p w14:paraId="485E05BB" w14:textId="77777777" w:rsidR="0004221F" w:rsidRDefault="0004221F">
      <w:pPr>
        <w:rPr>
          <w:sz w:val="32"/>
          <w:szCs w:val="32"/>
        </w:rPr>
      </w:pPr>
    </w:p>
    <w:p w14:paraId="5A0EB917" w14:textId="77777777" w:rsidR="0004221F" w:rsidRDefault="00000000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一、总则</w:t>
      </w:r>
    </w:p>
    <w:p w14:paraId="01DF7F40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（一）定义、目的及范围</w:t>
      </w:r>
    </w:p>
    <w:p w14:paraId="76217032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绿色供应链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管理企业是指</w:t>
      </w:r>
      <w:r>
        <w:rPr>
          <w:rFonts w:ascii="Times New Roman" w:eastAsia="仿宋_GB2312" w:hAnsi="Times New Roman" w:cs="Times New Roman"/>
          <w:sz w:val="32"/>
          <w:szCs w:val="32"/>
        </w:rPr>
        <w:t>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绿色低碳发展</w:t>
      </w:r>
      <w:r>
        <w:rPr>
          <w:rFonts w:ascii="Times New Roman" w:eastAsia="仿宋_GB2312" w:hAnsi="Times New Roman" w:cs="Times New Roman"/>
          <w:sz w:val="32"/>
          <w:szCs w:val="32"/>
        </w:rPr>
        <w:t>理念贯穿于企业产品设计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原材料采购、生产、运输、储存、销售、使用和报废处理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全过程，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实现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供应</w:t>
      </w:r>
      <w:r>
        <w:rPr>
          <w:rFonts w:ascii="Times New Roman" w:eastAsia="仿宋_GB2312" w:hAnsi="Times New Roman" w:cs="Times New Roman"/>
          <w:sz w:val="32"/>
          <w:szCs w:val="32"/>
        </w:rPr>
        <w:t>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全链条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绿色化水平协同提升的主导企业，是带动供应链上下游工厂实施绿色制造的关键。</w:t>
      </w:r>
    </w:p>
    <w:p w14:paraId="7BDA25F9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推行绿色供应链管理的目的是发挥供应链上核心企业的主体作用，一方面做好自身的节能减排和环境保护工作，不断扩大对社会的有效供给，另一方面引领带动供应链上下游企业持续提高资源能源利用效率，改善环境绩效，实现绿色发展。</w:t>
      </w:r>
    </w:p>
    <w:p w14:paraId="7AEFC34E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绿色供应链管理范围：按照产品生命周期要求，对设计、采购、生产、物流、回收等业务流程进行管理，其中涉及供应商、制造企业、物流商、销售商、最终用户以及回收、拆解等企业的协作。</w:t>
      </w:r>
    </w:p>
    <w:p w14:paraId="5B247F4B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（二）基本要求</w:t>
      </w:r>
    </w:p>
    <w:p w14:paraId="2234591C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是依法设立并具有独立法人资格或者视同法人的独立核算单位；</w:t>
      </w:r>
    </w:p>
    <w:p w14:paraId="4D4B3A1F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具有较强的行业影响力；</w:t>
      </w:r>
    </w:p>
    <w:p w14:paraId="5A01A4E1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3.</w:t>
      </w:r>
      <w:r>
        <w:rPr>
          <w:rFonts w:ascii="Times New Roman" w:eastAsia="仿宋_GB2312" w:hAnsi="Times New Roman" w:cs="Times New Roman"/>
          <w:sz w:val="32"/>
          <w:szCs w:val="32"/>
        </w:rPr>
        <w:t>具有较完善的能源资源、环境管理体系，各项管理制度健全，符合国家和地方的法律法规及标准规范要求，近三年无重大安全和环境污染事故；</w:t>
      </w:r>
    </w:p>
    <w:p w14:paraId="0C1F41FB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拥有数量众多的供应商，在供应商中有很强的影响力，与上下游供应商建立良好的合作关系；</w:t>
      </w:r>
    </w:p>
    <w:p w14:paraId="2632DF6D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有完善的供应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商管理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体系，建立健全的供应商认证、选择、审核、绩效管理和退出机制；</w:t>
      </w:r>
    </w:p>
    <w:p w14:paraId="08B216A4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6.</w:t>
      </w:r>
      <w:r>
        <w:rPr>
          <w:rFonts w:ascii="Times New Roman" w:eastAsia="仿宋_GB2312" w:hAnsi="Times New Roman" w:cs="Times New Roman"/>
          <w:sz w:val="32"/>
          <w:szCs w:val="32"/>
        </w:rPr>
        <w:t>有健全的财务管理制度，销售盈利能力处于行业领先水平；</w:t>
      </w:r>
    </w:p>
    <w:p w14:paraId="331B5457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7.</w:t>
      </w:r>
      <w:r>
        <w:rPr>
          <w:rFonts w:ascii="Times New Roman" w:eastAsia="仿宋_GB2312" w:hAnsi="Times New Roman" w:cs="Times New Roman"/>
          <w:sz w:val="32"/>
          <w:szCs w:val="32"/>
        </w:rPr>
        <w:t>对实施绿色供应链管理有明确的工作目标、思路、计划和措施。</w:t>
      </w:r>
    </w:p>
    <w:p w14:paraId="3A7F6160" w14:textId="77777777" w:rsidR="0004221F" w:rsidRDefault="00000000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二、企业绿色供应链管理关键环节</w:t>
      </w:r>
    </w:p>
    <w:p w14:paraId="43C77C90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（一）确立可持续的绿色供应链管理战略</w:t>
      </w:r>
    </w:p>
    <w:p w14:paraId="57026E3D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应将绿色供应链管理理念纳入发展战略规划，明确绿色供应链管理目标，设置管理部门，推进本企业绿色供应链管理工作。要用整体系统的观点将绿色供应链融入产品研发、设计、采购、制造、回收处理等业务流程，识别能源资源、环境风险和机遇，带动上下游企业深度协作，发挥绿色供应链管理优势，不断降低环境风险、提高能源资源利用效率，扩大绿色产品市场份额。</w:t>
      </w:r>
    </w:p>
    <w:p w14:paraId="134BF068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（二）实施绿色供应商管理</w:t>
      </w:r>
    </w:p>
    <w:p w14:paraId="63527BE1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企业要树立绿色采购理念，不断改进和完善采购标准、制度，将绿色采购贯穿原材料、产品和服务采购的全过程。要从物料环保、污染预防、节能减排等方面对供应商进行绿色伙伴认证、选择和管理，推动供应</w:t>
      </w:r>
      <w:proofErr w:type="gramStart"/>
      <w:r>
        <w:rPr>
          <w:rFonts w:ascii="仿宋_GB2312" w:eastAsia="仿宋_GB2312" w:hint="eastAsia"/>
          <w:sz w:val="32"/>
          <w:szCs w:val="32"/>
        </w:rPr>
        <w:t>商持续</w:t>
      </w:r>
      <w:proofErr w:type="gramEnd"/>
      <w:r>
        <w:rPr>
          <w:rFonts w:ascii="仿宋_GB2312" w:eastAsia="仿宋_GB2312" w:hint="eastAsia"/>
          <w:sz w:val="32"/>
          <w:szCs w:val="32"/>
        </w:rPr>
        <w:t>提高绿色发展水平，共同构建绿色供应链。要早期介入、主动参与供应商的研发制造过程，引导供应</w:t>
      </w:r>
      <w:proofErr w:type="gramStart"/>
      <w:r>
        <w:rPr>
          <w:rFonts w:ascii="仿宋_GB2312" w:eastAsia="仿宋_GB2312" w:hint="eastAsia"/>
          <w:sz w:val="32"/>
          <w:szCs w:val="32"/>
        </w:rPr>
        <w:t>商减少</w:t>
      </w:r>
      <w:proofErr w:type="gramEnd"/>
      <w:r>
        <w:rPr>
          <w:rFonts w:ascii="仿宋_GB2312" w:eastAsia="仿宋_GB2312" w:hint="eastAsia"/>
          <w:sz w:val="32"/>
          <w:szCs w:val="32"/>
        </w:rPr>
        <w:t>各种原辅材料和包装材料用量、用更环保的材料替代，避免或减少环境污染。定期对供应商进行培训和技术支持，传递客户和其他利益相关者的环境要求，帮助供应商将要求融入业务之中并逐级传递。</w:t>
      </w:r>
    </w:p>
    <w:p w14:paraId="6E67461F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（三）强化绿色生产</w:t>
      </w:r>
    </w:p>
    <w:p w14:paraId="0AF9F5DF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企业要建立基于产品全生命周期的绿色设计理念，整合环境数据资源，建立基础过程和产品数据库，构建评价模型，在研发设计阶段开展全生命周期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LCA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评价。不断提升绿色技术创新能力，采用先进适用的工艺技术与设备，减少或者避免生产过程中污染物的产生和排放。积极参与国际相关技术规范标准的制定，促进业界绿色生产水平提升，引领行业变革。</w:t>
      </w:r>
    </w:p>
    <w:p w14:paraId="325A20FD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（四）建设绿色回收体系</w:t>
      </w:r>
    </w:p>
    <w:p w14:paraId="46B04D7F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企业要建立生产者责任延伸制度，主动承担产品废弃后的回收和资源化利用责任。采用产品回收电子标签、物联网、大数据和</w:t>
      </w:r>
      <w:proofErr w:type="gramStart"/>
      <w:r>
        <w:rPr>
          <w:rFonts w:ascii="仿宋_GB2312" w:eastAsia="仿宋_GB2312" w:hint="eastAsia"/>
          <w:sz w:val="32"/>
          <w:szCs w:val="32"/>
        </w:rPr>
        <w:t>云计算</w:t>
      </w:r>
      <w:proofErr w:type="gramEnd"/>
      <w:r>
        <w:rPr>
          <w:rFonts w:ascii="仿宋_GB2312" w:eastAsia="仿宋_GB2312" w:hint="eastAsia"/>
          <w:sz w:val="32"/>
          <w:szCs w:val="32"/>
        </w:rPr>
        <w:t>等技术手段建立可核查、可溯源的绿色回收体系。生产企业可直接主导或与专业从事废旧产品回收利用的企业或</w:t>
      </w:r>
      <w:r>
        <w:rPr>
          <w:rFonts w:ascii="仿宋_GB2312" w:eastAsia="仿宋_GB2312" w:hint="eastAsia"/>
          <w:sz w:val="32"/>
          <w:szCs w:val="32"/>
        </w:rPr>
        <w:lastRenderedPageBreak/>
        <w:t>机构合作开展回收、处理与再利用，搭建拆解、回收信息发布平台，实现废旧产品在生产企业、消费者、回收企业、拆解企业间的有效流通。</w:t>
      </w:r>
    </w:p>
    <w:p w14:paraId="7499D4D4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（五）搭建绿色信息收集监测披露平台</w:t>
      </w:r>
    </w:p>
    <w:p w14:paraId="4C86C519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企业要建立能源消耗在线监测体系和</w:t>
      </w:r>
      <w:bookmarkStart w:id="0" w:name="OLE_LINK2"/>
      <w:bookmarkStart w:id="1" w:name="OLE_LINK1"/>
      <w:r>
        <w:rPr>
          <w:rFonts w:ascii="仿宋_GB2312" w:eastAsia="仿宋_GB2312" w:hint="eastAsia"/>
          <w:bCs/>
          <w:sz w:val="32"/>
          <w:szCs w:val="32"/>
        </w:rPr>
        <w:t>减排监测数据库</w:t>
      </w:r>
      <w:bookmarkEnd w:id="0"/>
      <w:bookmarkEnd w:id="1"/>
      <w:r>
        <w:rPr>
          <w:rFonts w:ascii="仿宋_GB2312" w:eastAsia="仿宋_GB2312" w:hint="eastAsia"/>
          <w:bCs/>
          <w:sz w:val="32"/>
          <w:szCs w:val="32"/>
        </w:rPr>
        <w:t>，定期发布企业社会责任报告，披露企业节能减排目标完成情况、污染物排放、违规情况等信息。要建立绿色供应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链信息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平台，收集绿色设计、绿色采购、绿色生产、绿色回收等过程的数据，建立供应链上下游企业之间的信息交流机制，实现生产企业、供应商、回收商以及政府部门、消费者之间的信息共享。要加强对供应链上下游重点供应商的管理评级，定期向社会披露重点供应商的环境信息，公布企业绿色采购的实施成效。</w:t>
      </w:r>
    </w:p>
    <w:p w14:paraId="69442220" w14:textId="77777777" w:rsidR="0004221F" w:rsidRDefault="00000000">
      <w:pPr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三、企业绿色供应链管理评价方法</w:t>
      </w:r>
    </w:p>
    <w:p w14:paraId="75DE21DA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（一）评价方式</w:t>
      </w:r>
    </w:p>
    <w:p w14:paraId="65C5AE8A" w14:textId="77777777" w:rsidR="0004221F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</w:rPr>
        <w:t>企业绿色供应链管理评价由第三方机构组织实施。</w:t>
      </w:r>
    </w:p>
    <w:p w14:paraId="6BC5D832" w14:textId="77777777" w:rsidR="0004221F" w:rsidRDefault="000000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第三方机构根据绿色供应链管理关键环节，按照评价标准对企业进行实地调查，查阅相关文件、报表、数据等，确保评价结果客观准确。</w:t>
      </w:r>
    </w:p>
    <w:p w14:paraId="2003DDDE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（二）评价指标体系</w:t>
      </w:r>
    </w:p>
    <w:p w14:paraId="4F63501C" w14:textId="77777777" w:rsidR="0004221F" w:rsidRDefault="00000000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绿色供应链管理评价指标体系包括绿色供应链管理战略指标、绿色供应</w:t>
      </w:r>
      <w:proofErr w:type="gramStart"/>
      <w:r>
        <w:rPr>
          <w:rFonts w:ascii="仿宋_GB2312" w:eastAsia="仿宋_GB2312" w:hint="eastAsia"/>
          <w:sz w:val="32"/>
          <w:szCs w:val="32"/>
        </w:rPr>
        <w:t>商管理</w:t>
      </w:r>
      <w:proofErr w:type="gramEnd"/>
      <w:r>
        <w:rPr>
          <w:rFonts w:ascii="仿宋_GB2312" w:eastAsia="仿宋_GB2312" w:hint="eastAsia"/>
          <w:sz w:val="32"/>
          <w:szCs w:val="32"/>
        </w:rPr>
        <w:t>指标、绿色生产指标、绿色回收指标、绿</w:t>
      </w:r>
      <w:r>
        <w:rPr>
          <w:rFonts w:ascii="仿宋_GB2312" w:eastAsia="仿宋_GB2312" w:hint="eastAsia"/>
          <w:sz w:val="32"/>
          <w:szCs w:val="32"/>
        </w:rPr>
        <w:lastRenderedPageBreak/>
        <w:t>色信息平台建设指标、绿色信息</w:t>
      </w:r>
      <w:r>
        <w:rPr>
          <w:rFonts w:ascii="Times New Roman" w:eastAsia="仿宋_GB2312" w:hAnsi="Times New Roman" w:cs="Times New Roman"/>
          <w:sz w:val="32"/>
          <w:szCs w:val="32"/>
        </w:rPr>
        <w:t>披露指标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个方面。具体如附表</w:t>
      </w:r>
      <w:r>
        <w:rPr>
          <w:rFonts w:ascii="Times New Roman" w:eastAsia="仿宋_GB2312" w:hAnsi="Times New Roman" w:cs="Times New Roman"/>
          <w:sz w:val="32"/>
          <w:szCs w:val="32"/>
        </w:rPr>
        <w:t>3.1</w:t>
      </w:r>
      <w:r>
        <w:rPr>
          <w:rFonts w:ascii="Times New Roman" w:eastAsia="仿宋_GB2312" w:hAnsi="Times New Roman" w:cs="Times New Roman"/>
          <w:sz w:val="32"/>
          <w:szCs w:val="32"/>
        </w:rPr>
        <w:t>所示。</w:t>
      </w:r>
    </w:p>
    <w:p w14:paraId="3005206F" w14:textId="77777777" w:rsidR="0004221F" w:rsidRDefault="00000000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附表</w:t>
      </w:r>
      <w:r>
        <w:rPr>
          <w:rFonts w:ascii="Times New Roman" w:eastAsia="黑体" w:hAnsi="Times New Roman" w:cs="Times New Roman"/>
          <w:sz w:val="28"/>
          <w:szCs w:val="28"/>
        </w:rPr>
        <w:t xml:space="preserve">3.1 </w:t>
      </w:r>
      <w:r>
        <w:rPr>
          <w:rFonts w:ascii="黑体" w:eastAsia="黑体" w:hAnsi="黑体" w:hint="eastAsia"/>
          <w:sz w:val="28"/>
          <w:szCs w:val="28"/>
        </w:rPr>
        <w:t xml:space="preserve"> 企业绿色供应链管理评价指标体系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728"/>
        <w:gridCol w:w="3601"/>
        <w:gridCol w:w="719"/>
        <w:gridCol w:w="840"/>
        <w:gridCol w:w="1454"/>
      </w:tblGrid>
      <w:tr w:rsidR="0004221F" w14:paraId="271D411E" w14:textId="77777777">
        <w:tc>
          <w:tcPr>
            <w:tcW w:w="1180" w:type="dxa"/>
            <w:vAlign w:val="center"/>
          </w:tcPr>
          <w:p w14:paraId="4FBA0921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一级指标</w:t>
            </w:r>
          </w:p>
        </w:tc>
        <w:tc>
          <w:tcPr>
            <w:tcW w:w="728" w:type="dxa"/>
            <w:vAlign w:val="center"/>
          </w:tcPr>
          <w:p w14:paraId="2EFD29C8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序号</w:t>
            </w:r>
          </w:p>
        </w:tc>
        <w:tc>
          <w:tcPr>
            <w:tcW w:w="3601" w:type="dxa"/>
            <w:vAlign w:val="center"/>
          </w:tcPr>
          <w:p w14:paraId="41389B9F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二级指标</w:t>
            </w:r>
          </w:p>
        </w:tc>
        <w:tc>
          <w:tcPr>
            <w:tcW w:w="719" w:type="dxa"/>
            <w:vAlign w:val="center"/>
          </w:tcPr>
          <w:p w14:paraId="33B704E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单位</w:t>
            </w:r>
          </w:p>
        </w:tc>
        <w:tc>
          <w:tcPr>
            <w:tcW w:w="840" w:type="dxa"/>
            <w:vAlign w:val="center"/>
          </w:tcPr>
          <w:p w14:paraId="0F448344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最高分值</w:t>
            </w:r>
          </w:p>
        </w:tc>
        <w:tc>
          <w:tcPr>
            <w:tcW w:w="1454" w:type="dxa"/>
            <w:vAlign w:val="center"/>
          </w:tcPr>
          <w:p w14:paraId="526C7DA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指标类型</w:t>
            </w:r>
          </w:p>
        </w:tc>
      </w:tr>
      <w:tr w:rsidR="0004221F" w14:paraId="610925D3" w14:textId="77777777">
        <w:tc>
          <w:tcPr>
            <w:tcW w:w="1180" w:type="dxa"/>
            <w:vMerge w:val="restart"/>
            <w:vAlign w:val="center"/>
          </w:tcPr>
          <w:p w14:paraId="2857E062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绿色供应链管理</w:t>
            </w:r>
          </w:p>
          <w:p w14:paraId="4E47EA30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战略</w:t>
            </w:r>
            <w:r>
              <w:rPr>
                <w:rFonts w:ascii="Times New Roman" w:eastAsia="仿宋_GB2312" w:hAnsi="Times New Roman"/>
                <w:sz w:val="24"/>
              </w:rPr>
              <w:t>X1</w:t>
            </w:r>
          </w:p>
        </w:tc>
        <w:tc>
          <w:tcPr>
            <w:tcW w:w="728" w:type="dxa"/>
          </w:tcPr>
          <w:p w14:paraId="37F0246E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</w:t>
            </w:r>
          </w:p>
        </w:tc>
        <w:tc>
          <w:tcPr>
            <w:tcW w:w="3601" w:type="dxa"/>
            <w:vAlign w:val="center"/>
          </w:tcPr>
          <w:p w14:paraId="12B26682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纳入公司发展规划</w:t>
            </w:r>
            <w:r>
              <w:rPr>
                <w:rFonts w:ascii="Times New Roman" w:eastAsia="仿宋_GB2312" w:hAnsi="Times New Roman"/>
                <w:sz w:val="24"/>
              </w:rPr>
              <w:t>X11</w:t>
            </w:r>
          </w:p>
        </w:tc>
        <w:tc>
          <w:tcPr>
            <w:tcW w:w="719" w:type="dxa"/>
            <w:vAlign w:val="center"/>
          </w:tcPr>
          <w:p w14:paraId="611334D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38DEC4A4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8</w:t>
            </w:r>
          </w:p>
        </w:tc>
        <w:tc>
          <w:tcPr>
            <w:tcW w:w="1454" w:type="dxa"/>
            <w:vAlign w:val="center"/>
          </w:tcPr>
          <w:p w14:paraId="552AABAE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12F68B06" w14:textId="77777777">
        <w:tc>
          <w:tcPr>
            <w:tcW w:w="1180" w:type="dxa"/>
            <w:vMerge/>
            <w:vAlign w:val="center"/>
          </w:tcPr>
          <w:p w14:paraId="36FCF3E8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</w:tcPr>
          <w:p w14:paraId="2125E679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</w:p>
        </w:tc>
        <w:tc>
          <w:tcPr>
            <w:tcW w:w="3601" w:type="dxa"/>
            <w:vAlign w:val="center"/>
          </w:tcPr>
          <w:p w14:paraId="4607659B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制定绿色供应链管理目标</w:t>
            </w:r>
            <w:r>
              <w:rPr>
                <w:rFonts w:ascii="Times New Roman" w:eastAsia="仿宋_GB2312" w:hAnsi="Times New Roman"/>
                <w:sz w:val="24"/>
              </w:rPr>
              <w:t>X12</w:t>
            </w:r>
          </w:p>
        </w:tc>
        <w:tc>
          <w:tcPr>
            <w:tcW w:w="719" w:type="dxa"/>
            <w:vAlign w:val="center"/>
          </w:tcPr>
          <w:p w14:paraId="24D1C73F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1ED590DC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6</w:t>
            </w:r>
          </w:p>
        </w:tc>
        <w:tc>
          <w:tcPr>
            <w:tcW w:w="1454" w:type="dxa"/>
            <w:vAlign w:val="center"/>
          </w:tcPr>
          <w:p w14:paraId="0222FAA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69A031DF" w14:textId="77777777">
        <w:tc>
          <w:tcPr>
            <w:tcW w:w="1180" w:type="dxa"/>
            <w:vMerge/>
            <w:vAlign w:val="center"/>
          </w:tcPr>
          <w:p w14:paraId="17401B0F" w14:textId="77777777" w:rsidR="0004221F" w:rsidRDefault="0004221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</w:tcPr>
          <w:p w14:paraId="115AC992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3601" w:type="dxa"/>
            <w:vAlign w:val="center"/>
          </w:tcPr>
          <w:p w14:paraId="62F3A594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设置专门管理机构</w:t>
            </w:r>
            <w:r>
              <w:rPr>
                <w:rFonts w:ascii="Times New Roman" w:eastAsia="仿宋_GB2312" w:hAnsi="Times New Roman"/>
                <w:sz w:val="24"/>
              </w:rPr>
              <w:t>X13</w:t>
            </w:r>
          </w:p>
        </w:tc>
        <w:tc>
          <w:tcPr>
            <w:tcW w:w="719" w:type="dxa"/>
            <w:vAlign w:val="center"/>
          </w:tcPr>
          <w:p w14:paraId="3823F9CE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573321E9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6</w:t>
            </w:r>
          </w:p>
        </w:tc>
        <w:tc>
          <w:tcPr>
            <w:tcW w:w="1454" w:type="dxa"/>
            <w:vAlign w:val="center"/>
          </w:tcPr>
          <w:p w14:paraId="5FA8CBD2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7436A7D4" w14:textId="77777777">
        <w:tc>
          <w:tcPr>
            <w:tcW w:w="1180" w:type="dxa"/>
            <w:vMerge w:val="restart"/>
            <w:vAlign w:val="center"/>
          </w:tcPr>
          <w:p w14:paraId="41A6182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实施绿色供应商</w:t>
            </w:r>
          </w:p>
          <w:p w14:paraId="1BF91F02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管理</w:t>
            </w:r>
            <w:r>
              <w:rPr>
                <w:rFonts w:ascii="Times New Roman" w:eastAsia="仿宋_GB2312" w:hAnsi="Times New Roman"/>
                <w:sz w:val="24"/>
              </w:rPr>
              <w:t>X2</w:t>
            </w:r>
          </w:p>
        </w:tc>
        <w:tc>
          <w:tcPr>
            <w:tcW w:w="728" w:type="dxa"/>
          </w:tcPr>
          <w:p w14:paraId="3F2741D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</w:t>
            </w:r>
          </w:p>
        </w:tc>
        <w:tc>
          <w:tcPr>
            <w:tcW w:w="3601" w:type="dxa"/>
            <w:vAlign w:val="center"/>
          </w:tcPr>
          <w:p w14:paraId="601635E4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绿色采购标准制度完善</w:t>
            </w:r>
            <w:r>
              <w:rPr>
                <w:rFonts w:ascii="Times New Roman" w:eastAsia="仿宋_GB2312" w:hAnsi="Times New Roman"/>
                <w:sz w:val="24"/>
              </w:rPr>
              <w:t>X21</w:t>
            </w:r>
          </w:p>
        </w:tc>
        <w:tc>
          <w:tcPr>
            <w:tcW w:w="719" w:type="dxa"/>
            <w:vAlign w:val="center"/>
          </w:tcPr>
          <w:p w14:paraId="4F1E42A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56F087F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</w:t>
            </w:r>
          </w:p>
        </w:tc>
        <w:tc>
          <w:tcPr>
            <w:tcW w:w="1454" w:type="dxa"/>
            <w:vAlign w:val="center"/>
          </w:tcPr>
          <w:p w14:paraId="649CF382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55B86101" w14:textId="77777777">
        <w:tc>
          <w:tcPr>
            <w:tcW w:w="1180" w:type="dxa"/>
            <w:vMerge/>
            <w:vAlign w:val="center"/>
          </w:tcPr>
          <w:p w14:paraId="6FD1558A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</w:tcPr>
          <w:p w14:paraId="4CCB9421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3601" w:type="dxa"/>
            <w:vAlign w:val="center"/>
          </w:tcPr>
          <w:p w14:paraId="38FE9FB6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供应商认证体系完善</w:t>
            </w:r>
            <w:r>
              <w:rPr>
                <w:rFonts w:ascii="Times New Roman" w:eastAsia="仿宋_GB2312" w:hAnsi="Times New Roman"/>
                <w:sz w:val="24"/>
              </w:rPr>
              <w:t>X22</w:t>
            </w:r>
          </w:p>
        </w:tc>
        <w:tc>
          <w:tcPr>
            <w:tcW w:w="719" w:type="dxa"/>
            <w:vAlign w:val="center"/>
          </w:tcPr>
          <w:p w14:paraId="1B41EE46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4B5EAF26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14:paraId="0A7215B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18D97041" w14:textId="77777777">
        <w:tc>
          <w:tcPr>
            <w:tcW w:w="1180" w:type="dxa"/>
            <w:vMerge/>
            <w:vAlign w:val="center"/>
          </w:tcPr>
          <w:p w14:paraId="1D6E3470" w14:textId="77777777" w:rsidR="0004221F" w:rsidRDefault="0004221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</w:tcPr>
          <w:p w14:paraId="27DE74B2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6</w:t>
            </w:r>
          </w:p>
        </w:tc>
        <w:tc>
          <w:tcPr>
            <w:tcW w:w="3601" w:type="dxa"/>
            <w:vAlign w:val="center"/>
          </w:tcPr>
          <w:p w14:paraId="1C2F997F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对供应商定期审核</w:t>
            </w:r>
            <w:r>
              <w:rPr>
                <w:rFonts w:ascii="Times New Roman" w:eastAsia="仿宋_GB2312" w:hAnsi="Times New Roman"/>
                <w:sz w:val="24"/>
              </w:rPr>
              <w:t>X23</w:t>
            </w:r>
          </w:p>
        </w:tc>
        <w:tc>
          <w:tcPr>
            <w:tcW w:w="719" w:type="dxa"/>
            <w:vAlign w:val="center"/>
          </w:tcPr>
          <w:p w14:paraId="692065E4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1AF1C3F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14:paraId="47F83A1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3C981FFA" w14:textId="77777777">
        <w:tc>
          <w:tcPr>
            <w:tcW w:w="1180" w:type="dxa"/>
            <w:vMerge/>
            <w:vAlign w:val="center"/>
          </w:tcPr>
          <w:p w14:paraId="68B436AB" w14:textId="77777777" w:rsidR="0004221F" w:rsidRDefault="0004221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</w:tcPr>
          <w:p w14:paraId="64A21BC8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7</w:t>
            </w:r>
          </w:p>
        </w:tc>
        <w:tc>
          <w:tcPr>
            <w:tcW w:w="3601" w:type="dxa"/>
            <w:vAlign w:val="center"/>
          </w:tcPr>
          <w:p w14:paraId="3A10A372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供应商绩效评估制度健全</w:t>
            </w:r>
            <w:r>
              <w:rPr>
                <w:rFonts w:ascii="Times New Roman" w:eastAsia="仿宋_GB2312" w:hAnsi="Times New Roman"/>
                <w:sz w:val="24"/>
              </w:rPr>
              <w:t>X24</w:t>
            </w:r>
          </w:p>
        </w:tc>
        <w:tc>
          <w:tcPr>
            <w:tcW w:w="719" w:type="dxa"/>
            <w:vAlign w:val="center"/>
          </w:tcPr>
          <w:p w14:paraId="2B5B1373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6005DDBF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14:paraId="5C18C05A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5D77541F" w14:textId="77777777">
        <w:tc>
          <w:tcPr>
            <w:tcW w:w="1180" w:type="dxa"/>
            <w:vMerge/>
            <w:vAlign w:val="center"/>
          </w:tcPr>
          <w:p w14:paraId="330F8726" w14:textId="77777777" w:rsidR="0004221F" w:rsidRDefault="0004221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</w:tcPr>
          <w:p w14:paraId="75C081A9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8</w:t>
            </w:r>
          </w:p>
        </w:tc>
        <w:tc>
          <w:tcPr>
            <w:tcW w:w="3601" w:type="dxa"/>
            <w:vAlign w:val="center"/>
          </w:tcPr>
          <w:p w14:paraId="753B2DD2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定期对供应商进行培训</w:t>
            </w:r>
            <w:r>
              <w:rPr>
                <w:rFonts w:ascii="Times New Roman" w:eastAsia="仿宋_GB2312" w:hAnsi="Times New Roman"/>
                <w:sz w:val="24"/>
              </w:rPr>
              <w:t>X25</w:t>
            </w:r>
          </w:p>
        </w:tc>
        <w:tc>
          <w:tcPr>
            <w:tcW w:w="719" w:type="dxa"/>
            <w:vAlign w:val="center"/>
          </w:tcPr>
          <w:p w14:paraId="7A59D430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632E1BDD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3</w:t>
            </w:r>
          </w:p>
        </w:tc>
        <w:tc>
          <w:tcPr>
            <w:tcW w:w="1454" w:type="dxa"/>
            <w:vAlign w:val="center"/>
          </w:tcPr>
          <w:p w14:paraId="7AEFD2CF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77BF8851" w14:textId="77777777">
        <w:tc>
          <w:tcPr>
            <w:tcW w:w="1180" w:type="dxa"/>
            <w:vMerge/>
            <w:vAlign w:val="center"/>
          </w:tcPr>
          <w:p w14:paraId="45E30C18" w14:textId="77777777" w:rsidR="0004221F" w:rsidRDefault="0004221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</w:tcPr>
          <w:p w14:paraId="3253BE99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9</w:t>
            </w:r>
          </w:p>
        </w:tc>
        <w:tc>
          <w:tcPr>
            <w:tcW w:w="3601" w:type="dxa"/>
            <w:vAlign w:val="center"/>
          </w:tcPr>
          <w:p w14:paraId="51C3D12B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低风险供应商占比</w:t>
            </w:r>
            <w:r>
              <w:rPr>
                <w:rFonts w:ascii="Times New Roman" w:eastAsia="仿宋_GB2312" w:hAnsi="Times New Roman"/>
                <w:sz w:val="24"/>
              </w:rPr>
              <w:t>X26</w:t>
            </w:r>
          </w:p>
        </w:tc>
        <w:tc>
          <w:tcPr>
            <w:tcW w:w="719" w:type="dxa"/>
            <w:vAlign w:val="center"/>
          </w:tcPr>
          <w:p w14:paraId="603C3370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%</w:t>
            </w:r>
          </w:p>
        </w:tc>
        <w:tc>
          <w:tcPr>
            <w:tcW w:w="840" w:type="dxa"/>
            <w:vAlign w:val="center"/>
          </w:tcPr>
          <w:p w14:paraId="008E413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4</w:t>
            </w:r>
          </w:p>
        </w:tc>
        <w:tc>
          <w:tcPr>
            <w:tcW w:w="1454" w:type="dxa"/>
            <w:vAlign w:val="center"/>
          </w:tcPr>
          <w:p w14:paraId="6C6848D8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定量</w:t>
            </w:r>
          </w:p>
        </w:tc>
      </w:tr>
      <w:tr w:rsidR="0004221F" w14:paraId="58CB2E8F" w14:textId="77777777">
        <w:tc>
          <w:tcPr>
            <w:tcW w:w="1180" w:type="dxa"/>
            <w:vMerge w:val="restart"/>
            <w:vAlign w:val="center"/>
          </w:tcPr>
          <w:p w14:paraId="09DD8EEE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绿色生产</w:t>
            </w:r>
            <w:r>
              <w:rPr>
                <w:rFonts w:ascii="Times New Roman" w:eastAsia="仿宋_GB2312" w:hAnsi="Times New Roman"/>
                <w:sz w:val="24"/>
              </w:rPr>
              <w:t>X3</w:t>
            </w:r>
          </w:p>
        </w:tc>
        <w:tc>
          <w:tcPr>
            <w:tcW w:w="728" w:type="dxa"/>
          </w:tcPr>
          <w:p w14:paraId="13C0EB8C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</w:t>
            </w:r>
          </w:p>
        </w:tc>
        <w:tc>
          <w:tcPr>
            <w:tcW w:w="3601" w:type="dxa"/>
            <w:vAlign w:val="center"/>
          </w:tcPr>
          <w:p w14:paraId="6B191E57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节能减排环保合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规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X31</w:t>
            </w:r>
          </w:p>
        </w:tc>
        <w:tc>
          <w:tcPr>
            <w:tcW w:w="719" w:type="dxa"/>
            <w:vAlign w:val="center"/>
          </w:tcPr>
          <w:p w14:paraId="3DADF08F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54F268A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</w:t>
            </w:r>
          </w:p>
        </w:tc>
        <w:tc>
          <w:tcPr>
            <w:tcW w:w="1454" w:type="dxa"/>
            <w:vAlign w:val="center"/>
          </w:tcPr>
          <w:p w14:paraId="72A5AC2D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46762A6E" w14:textId="77777777">
        <w:trPr>
          <w:trHeight w:val="618"/>
        </w:trPr>
        <w:tc>
          <w:tcPr>
            <w:tcW w:w="1180" w:type="dxa"/>
            <w:vMerge/>
            <w:vAlign w:val="center"/>
          </w:tcPr>
          <w:p w14:paraId="05C619AA" w14:textId="77777777" w:rsidR="0004221F" w:rsidRDefault="0004221F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1BD34FF3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11</w:t>
            </w:r>
          </w:p>
        </w:tc>
        <w:tc>
          <w:tcPr>
            <w:tcW w:w="3601" w:type="dxa"/>
            <w:vAlign w:val="center"/>
          </w:tcPr>
          <w:p w14:paraId="14AED1CE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符合有害物质限制使用管理办法</w:t>
            </w:r>
            <w:r>
              <w:rPr>
                <w:rFonts w:ascii="Times New Roman" w:eastAsia="仿宋_GB2312" w:hAnsi="Times New Roman"/>
                <w:sz w:val="24"/>
              </w:rPr>
              <w:t>X32</w:t>
            </w:r>
          </w:p>
        </w:tc>
        <w:tc>
          <w:tcPr>
            <w:tcW w:w="719" w:type="dxa"/>
            <w:vAlign w:val="center"/>
          </w:tcPr>
          <w:p w14:paraId="11B38BFA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300DBBE1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</w:t>
            </w:r>
          </w:p>
        </w:tc>
        <w:tc>
          <w:tcPr>
            <w:tcW w:w="1454" w:type="dxa"/>
            <w:vAlign w:val="center"/>
          </w:tcPr>
          <w:p w14:paraId="19ED7A36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298134B0" w14:textId="77777777">
        <w:tc>
          <w:tcPr>
            <w:tcW w:w="1180" w:type="dxa"/>
            <w:vMerge w:val="restart"/>
            <w:vAlign w:val="center"/>
          </w:tcPr>
          <w:p w14:paraId="3E469C5F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绿色回收</w:t>
            </w:r>
            <w:r>
              <w:rPr>
                <w:rFonts w:ascii="Times New Roman" w:eastAsia="仿宋_GB2312" w:hAnsi="Times New Roman"/>
                <w:sz w:val="24"/>
              </w:rPr>
              <w:t>X4</w:t>
            </w:r>
          </w:p>
        </w:tc>
        <w:tc>
          <w:tcPr>
            <w:tcW w:w="728" w:type="dxa"/>
            <w:vAlign w:val="center"/>
          </w:tcPr>
          <w:p w14:paraId="35E9BD42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12</w:t>
            </w:r>
          </w:p>
        </w:tc>
        <w:tc>
          <w:tcPr>
            <w:tcW w:w="3601" w:type="dxa"/>
            <w:vAlign w:val="center"/>
          </w:tcPr>
          <w:p w14:paraId="630E5129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产品回收率</w:t>
            </w:r>
            <w:r>
              <w:rPr>
                <w:rFonts w:ascii="Times New Roman" w:eastAsia="仿宋_GB2312" w:hAnsi="Times New Roman"/>
                <w:sz w:val="24"/>
              </w:rPr>
              <w:t>X41</w:t>
            </w:r>
          </w:p>
        </w:tc>
        <w:tc>
          <w:tcPr>
            <w:tcW w:w="719" w:type="dxa"/>
            <w:vAlign w:val="center"/>
          </w:tcPr>
          <w:p w14:paraId="374C76F9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%</w:t>
            </w:r>
          </w:p>
        </w:tc>
        <w:tc>
          <w:tcPr>
            <w:tcW w:w="840" w:type="dxa"/>
            <w:vAlign w:val="center"/>
          </w:tcPr>
          <w:p w14:paraId="0B7D0993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14:paraId="56E4FB1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定量</w:t>
            </w:r>
          </w:p>
        </w:tc>
      </w:tr>
      <w:tr w:rsidR="0004221F" w14:paraId="68F7F5BC" w14:textId="77777777">
        <w:tc>
          <w:tcPr>
            <w:tcW w:w="1180" w:type="dxa"/>
            <w:vMerge/>
            <w:vAlign w:val="center"/>
          </w:tcPr>
          <w:p w14:paraId="5CCF1888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0FECF60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13</w:t>
            </w:r>
          </w:p>
        </w:tc>
        <w:tc>
          <w:tcPr>
            <w:tcW w:w="3601" w:type="dxa"/>
            <w:vAlign w:val="center"/>
          </w:tcPr>
          <w:p w14:paraId="10A6E4C7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包装回收率</w:t>
            </w:r>
            <w:r>
              <w:rPr>
                <w:rFonts w:ascii="Times New Roman" w:eastAsia="仿宋_GB2312" w:hAnsi="Times New Roman"/>
                <w:sz w:val="24"/>
              </w:rPr>
              <w:t>X42</w:t>
            </w:r>
          </w:p>
        </w:tc>
        <w:tc>
          <w:tcPr>
            <w:tcW w:w="719" w:type="dxa"/>
            <w:vAlign w:val="center"/>
          </w:tcPr>
          <w:p w14:paraId="6DA35A4A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%</w:t>
            </w:r>
          </w:p>
        </w:tc>
        <w:tc>
          <w:tcPr>
            <w:tcW w:w="840" w:type="dxa"/>
            <w:vAlign w:val="center"/>
          </w:tcPr>
          <w:p w14:paraId="2ECBCB56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14:paraId="5B445EDC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定量</w:t>
            </w:r>
          </w:p>
        </w:tc>
      </w:tr>
      <w:tr w:rsidR="0004221F" w14:paraId="2D9570A1" w14:textId="77777777">
        <w:tc>
          <w:tcPr>
            <w:tcW w:w="1180" w:type="dxa"/>
            <w:vMerge/>
            <w:vAlign w:val="center"/>
          </w:tcPr>
          <w:p w14:paraId="0B9B2902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5A80E0EE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14</w:t>
            </w:r>
          </w:p>
        </w:tc>
        <w:tc>
          <w:tcPr>
            <w:tcW w:w="3601" w:type="dxa"/>
            <w:vAlign w:val="center"/>
          </w:tcPr>
          <w:p w14:paraId="1D41F4F0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回收体系完善（含自建、与第三方联合回收）</w:t>
            </w:r>
            <w:r>
              <w:rPr>
                <w:rFonts w:ascii="Times New Roman" w:eastAsia="仿宋_GB2312" w:hAnsi="Times New Roman"/>
                <w:sz w:val="24"/>
              </w:rPr>
              <w:t>X43</w:t>
            </w:r>
          </w:p>
        </w:tc>
        <w:tc>
          <w:tcPr>
            <w:tcW w:w="719" w:type="dxa"/>
            <w:vAlign w:val="center"/>
          </w:tcPr>
          <w:p w14:paraId="065E52F0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6BA07A0E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14:paraId="0677661F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524E368C" w14:textId="77777777">
        <w:trPr>
          <w:trHeight w:val="574"/>
        </w:trPr>
        <w:tc>
          <w:tcPr>
            <w:tcW w:w="1180" w:type="dxa"/>
            <w:vMerge/>
            <w:vAlign w:val="center"/>
          </w:tcPr>
          <w:p w14:paraId="590EA143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214D59D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15</w:t>
            </w:r>
          </w:p>
        </w:tc>
        <w:tc>
          <w:tcPr>
            <w:tcW w:w="3601" w:type="dxa"/>
            <w:vAlign w:val="center"/>
          </w:tcPr>
          <w:p w14:paraId="2F7C400F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指导下游企业回收拆解</w:t>
            </w:r>
            <w:r>
              <w:rPr>
                <w:rFonts w:ascii="Times New Roman" w:eastAsia="仿宋_GB2312" w:hAnsi="Times New Roman"/>
                <w:sz w:val="24"/>
              </w:rPr>
              <w:t>X44</w:t>
            </w:r>
          </w:p>
        </w:tc>
        <w:tc>
          <w:tcPr>
            <w:tcW w:w="719" w:type="dxa"/>
            <w:vAlign w:val="center"/>
          </w:tcPr>
          <w:p w14:paraId="4CB246B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  <w:p w14:paraId="6E4F5DA0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75C7B51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5</w:t>
            </w:r>
          </w:p>
        </w:tc>
        <w:tc>
          <w:tcPr>
            <w:tcW w:w="1454" w:type="dxa"/>
            <w:vAlign w:val="center"/>
          </w:tcPr>
          <w:p w14:paraId="097B17D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18CFCEFA" w14:textId="77777777">
        <w:trPr>
          <w:trHeight w:val="906"/>
        </w:trPr>
        <w:tc>
          <w:tcPr>
            <w:tcW w:w="1180" w:type="dxa"/>
            <w:vAlign w:val="center"/>
          </w:tcPr>
          <w:p w14:paraId="1D8F6F7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绿色信息平台建设</w:t>
            </w:r>
            <w:r>
              <w:rPr>
                <w:rFonts w:ascii="Times New Roman" w:eastAsia="仿宋_GB2312" w:hAnsi="Times New Roman"/>
                <w:sz w:val="24"/>
              </w:rPr>
              <w:t>X5</w:t>
            </w:r>
          </w:p>
        </w:tc>
        <w:tc>
          <w:tcPr>
            <w:tcW w:w="728" w:type="dxa"/>
            <w:vAlign w:val="center"/>
          </w:tcPr>
          <w:p w14:paraId="22B47443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16</w:t>
            </w:r>
          </w:p>
        </w:tc>
        <w:tc>
          <w:tcPr>
            <w:tcW w:w="3601" w:type="dxa"/>
            <w:vAlign w:val="center"/>
          </w:tcPr>
          <w:p w14:paraId="7FDCF91D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绿色供应链管理信息平台完善</w:t>
            </w:r>
            <w:r>
              <w:rPr>
                <w:rFonts w:ascii="Times New Roman" w:eastAsia="仿宋_GB2312" w:hAnsi="Times New Roman"/>
                <w:sz w:val="24"/>
              </w:rPr>
              <w:t>X51</w:t>
            </w:r>
          </w:p>
        </w:tc>
        <w:tc>
          <w:tcPr>
            <w:tcW w:w="719" w:type="dxa"/>
            <w:vAlign w:val="center"/>
          </w:tcPr>
          <w:p w14:paraId="5B4DD860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5472CB0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10</w:t>
            </w:r>
          </w:p>
        </w:tc>
        <w:tc>
          <w:tcPr>
            <w:tcW w:w="1454" w:type="dxa"/>
            <w:vAlign w:val="center"/>
          </w:tcPr>
          <w:p w14:paraId="52E43B9D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56071712" w14:textId="77777777">
        <w:trPr>
          <w:trHeight w:val="906"/>
        </w:trPr>
        <w:tc>
          <w:tcPr>
            <w:tcW w:w="1180" w:type="dxa"/>
            <w:vMerge w:val="restart"/>
            <w:vAlign w:val="center"/>
          </w:tcPr>
          <w:p w14:paraId="77441798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绿色信息披露</w:t>
            </w:r>
            <w:r>
              <w:rPr>
                <w:rFonts w:ascii="Times New Roman" w:eastAsia="仿宋_GB2312" w:hAnsi="Times New Roman"/>
                <w:sz w:val="24"/>
              </w:rPr>
              <w:t>X6</w:t>
            </w:r>
          </w:p>
        </w:tc>
        <w:tc>
          <w:tcPr>
            <w:tcW w:w="728" w:type="dxa"/>
            <w:vAlign w:val="center"/>
          </w:tcPr>
          <w:p w14:paraId="0A4A2D11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17</w:t>
            </w:r>
          </w:p>
        </w:tc>
        <w:tc>
          <w:tcPr>
            <w:tcW w:w="3601" w:type="dxa"/>
            <w:vAlign w:val="center"/>
          </w:tcPr>
          <w:p w14:paraId="5AAF889E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披露企业节能减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排减碳信息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X61</w:t>
            </w:r>
          </w:p>
        </w:tc>
        <w:tc>
          <w:tcPr>
            <w:tcW w:w="719" w:type="dxa"/>
            <w:vAlign w:val="center"/>
          </w:tcPr>
          <w:p w14:paraId="1B18EC0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26232E6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14:paraId="2EB7A379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368C5EAB" w14:textId="77777777">
        <w:trPr>
          <w:trHeight w:val="762"/>
        </w:trPr>
        <w:tc>
          <w:tcPr>
            <w:tcW w:w="1180" w:type="dxa"/>
            <w:vMerge/>
            <w:vAlign w:val="center"/>
          </w:tcPr>
          <w:p w14:paraId="690CFDA1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326AFF80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18</w:t>
            </w:r>
          </w:p>
        </w:tc>
        <w:tc>
          <w:tcPr>
            <w:tcW w:w="3601" w:type="dxa"/>
            <w:vAlign w:val="center"/>
          </w:tcPr>
          <w:p w14:paraId="4DD8AE8F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披露高、中风险供应商审核率及低风险供应商占比</w:t>
            </w:r>
            <w:r>
              <w:rPr>
                <w:rFonts w:ascii="Times New Roman" w:eastAsia="仿宋_GB2312" w:hAnsi="Times New Roman"/>
                <w:sz w:val="24"/>
              </w:rPr>
              <w:t>X62</w:t>
            </w:r>
          </w:p>
        </w:tc>
        <w:tc>
          <w:tcPr>
            <w:tcW w:w="719" w:type="dxa"/>
            <w:vAlign w:val="center"/>
          </w:tcPr>
          <w:p w14:paraId="0CAD94B8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7A2F187A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14:paraId="7BCB0504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75AA5183" w14:textId="77777777">
        <w:trPr>
          <w:trHeight w:val="623"/>
        </w:trPr>
        <w:tc>
          <w:tcPr>
            <w:tcW w:w="1180" w:type="dxa"/>
            <w:vMerge/>
            <w:vAlign w:val="center"/>
          </w:tcPr>
          <w:p w14:paraId="42189578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442B0425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19</w:t>
            </w:r>
          </w:p>
        </w:tc>
        <w:tc>
          <w:tcPr>
            <w:tcW w:w="3601" w:type="dxa"/>
            <w:vAlign w:val="center"/>
          </w:tcPr>
          <w:p w14:paraId="414ADA54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披露供应商节能减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排信息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X63</w:t>
            </w:r>
          </w:p>
        </w:tc>
        <w:tc>
          <w:tcPr>
            <w:tcW w:w="719" w:type="dxa"/>
            <w:vAlign w:val="center"/>
          </w:tcPr>
          <w:p w14:paraId="6FA6AF04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689518DF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14:paraId="3AE81CEC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  <w:tr w:rsidR="0004221F" w14:paraId="08CEEDA6" w14:textId="77777777">
        <w:trPr>
          <w:trHeight w:val="623"/>
        </w:trPr>
        <w:tc>
          <w:tcPr>
            <w:tcW w:w="1180" w:type="dxa"/>
            <w:vMerge/>
            <w:vAlign w:val="center"/>
          </w:tcPr>
          <w:p w14:paraId="22060F3E" w14:textId="77777777" w:rsidR="0004221F" w:rsidRDefault="000422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728" w:type="dxa"/>
            <w:vAlign w:val="center"/>
          </w:tcPr>
          <w:p w14:paraId="5D8392B7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20</w:t>
            </w:r>
          </w:p>
        </w:tc>
        <w:tc>
          <w:tcPr>
            <w:tcW w:w="3601" w:type="dxa"/>
            <w:vAlign w:val="center"/>
          </w:tcPr>
          <w:p w14:paraId="1BA0647A" w14:textId="77777777" w:rsidR="0004221F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发布企业社会责任报告（含绿色采购信息）</w:t>
            </w:r>
            <w:r>
              <w:rPr>
                <w:rFonts w:ascii="Times New Roman" w:eastAsia="仿宋_GB2312" w:hAnsi="Times New Roman"/>
                <w:sz w:val="24"/>
              </w:rPr>
              <w:t>X64</w:t>
            </w:r>
          </w:p>
        </w:tc>
        <w:tc>
          <w:tcPr>
            <w:tcW w:w="719" w:type="dxa"/>
            <w:vAlign w:val="center"/>
          </w:tcPr>
          <w:p w14:paraId="733B68AB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-</w:t>
            </w:r>
          </w:p>
        </w:tc>
        <w:tc>
          <w:tcPr>
            <w:tcW w:w="840" w:type="dxa"/>
            <w:vAlign w:val="center"/>
          </w:tcPr>
          <w:p w14:paraId="492B6BD8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2.5</w:t>
            </w:r>
          </w:p>
        </w:tc>
        <w:tc>
          <w:tcPr>
            <w:tcW w:w="1454" w:type="dxa"/>
            <w:vAlign w:val="center"/>
          </w:tcPr>
          <w:p w14:paraId="21D523E6" w14:textId="77777777" w:rsidR="0004221F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定性</w:t>
            </w:r>
          </w:p>
        </w:tc>
      </w:tr>
    </w:tbl>
    <w:p w14:paraId="057FAA89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（三）绿色供应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链评价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>指数计算方法</w:t>
      </w:r>
    </w:p>
    <w:p w14:paraId="0DBE0A36" w14:textId="77777777" w:rsidR="0004221F" w:rsidRDefault="00000000">
      <w:pPr>
        <w:ind w:firstLine="63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企业绿色供应链管理指数的计算公式如下。</w:t>
      </w:r>
    </w:p>
    <w:p w14:paraId="4E9A752F" w14:textId="77777777" w:rsidR="0004221F" w:rsidRDefault="00000000">
      <w:pPr>
        <w:ind w:left="320" w:hangingChars="100" w:hanging="320"/>
        <w:rPr>
          <w:rFonts w:ascii="Times New Roman" w:eastAsia="仿宋_GB2312" w:hAnsi="Times New Roman" w:cs="Times New Roman"/>
          <w:position w:val="-30"/>
          <w:sz w:val="32"/>
          <w:szCs w:val="32"/>
        </w:rPr>
      </w:pPr>
      <w:r>
        <w:rPr>
          <w:rFonts w:ascii="Times New Roman" w:eastAsia="仿宋_GB2312" w:hAnsi="Times New Roman" w:cs="Times New Roman"/>
          <w:position w:val="-30"/>
          <w:sz w:val="32"/>
          <w:szCs w:val="32"/>
        </w:rPr>
        <w:object w:dxaOrig="8205" w:dyaOrig="887" w14:anchorId="2FD225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10.25pt;height:44.35pt" o:ole="">
            <v:imagedata r:id="rId8" o:title=""/>
          </v:shape>
          <o:OLEObject Type="Embed" ProgID="Equation.3" ShapeID="_x0000_i1050" DrawAspect="Content" ObjectID="_1778572230" r:id="rId9"/>
        </w:object>
      </w:r>
    </w:p>
    <w:p w14:paraId="168E756D" w14:textId="77777777" w:rsidR="0004221F" w:rsidRDefault="00000000">
      <w:pPr>
        <w:ind w:left="320" w:hangingChars="100" w:hanging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式中</w:t>
      </w:r>
      <w:r>
        <w:rPr>
          <w:rFonts w:ascii="仿宋_GB2312" w:eastAsia="仿宋_GB2312"/>
          <w:sz w:val="32"/>
          <w:szCs w:val="32"/>
        </w:rPr>
        <w:object w:dxaOrig="1440" w:dyaOrig="1440" w14:anchorId="2BEF7CE8">
          <v:shape id="_x0000_s2050" type="#_x0000_t75" style="position:absolute;left:0;text-align:left;margin-left:0;margin-top:.3pt;width:9pt;height:17.25pt;z-index:251659264;mso-wrap-distance-left:9pt;mso-wrap-distance-top:0;mso-wrap-distance-right:9pt;mso-wrap-distance-bottom:0;mso-position-horizontal:left;mso-position-horizontal-relative:text;mso-position-vertical-relative:text;mso-width-relative:page;mso-height-relative:page">
            <v:imagedata r:id="rId10" o:title=""/>
            <w10:wrap type="square" side="right"/>
          </v:shape>
          <o:OLEObject Type="Embed" ProgID="Equation.3" ShapeID="_x0000_s2050" DrawAspect="Content" ObjectID="_1778572231" r:id="rId11"/>
        </w:object>
      </w:r>
      <w:r>
        <w:rPr>
          <w:rFonts w:ascii="仿宋_GB2312" w:eastAsia="仿宋_GB2312" w:hint="eastAsia"/>
          <w:sz w:val="32"/>
          <w:szCs w:val="32"/>
        </w:rPr>
        <w:t>GSCI为绿色供应链管理指数。</w:t>
      </w:r>
    </w:p>
    <w:p w14:paraId="723B98E8" w14:textId="77777777" w:rsidR="0004221F" w:rsidRDefault="00000000">
      <w:pPr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（四）部分指标说明</w:t>
      </w:r>
    </w:p>
    <w:p w14:paraId="7365F2F7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、纳入公司发展规划：有明确的绿色供应链管理中长期发展规划、年度目标、指标、实施方案等文件。</w:t>
      </w:r>
    </w:p>
    <w:p w14:paraId="2926E325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2</w:t>
      </w:r>
      <w:r>
        <w:rPr>
          <w:rFonts w:ascii="Times New Roman" w:eastAsia="仿宋" w:hAnsi="Times New Roman" w:cs="Times New Roman"/>
          <w:sz w:val="32"/>
          <w:szCs w:val="32"/>
        </w:rPr>
        <w:t>、供应商绩效评估制度：建立供应商绩效评估标准，对供应商进行分级评价和管理。</w:t>
      </w:r>
    </w:p>
    <w:p w14:paraId="53E4CE31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Times New Roman" w:eastAsia="仿宋" w:hAnsi="Times New Roman" w:cs="Times New Roman"/>
          <w:sz w:val="32"/>
          <w:szCs w:val="32"/>
        </w:rPr>
        <w:t>、低风险供应商占比的基准值取</w:t>
      </w:r>
      <w:r>
        <w:rPr>
          <w:rFonts w:ascii="Times New Roman" w:eastAsia="仿宋" w:hAnsi="Times New Roman" w:cs="Times New Roman"/>
          <w:sz w:val="32"/>
          <w:szCs w:val="32"/>
        </w:rPr>
        <w:t>80%</w:t>
      </w:r>
      <w:r>
        <w:rPr>
          <w:rFonts w:ascii="Times New Roman" w:eastAsia="仿宋" w:hAnsi="Times New Roman" w:cs="Times New Roman"/>
          <w:sz w:val="32"/>
          <w:szCs w:val="32"/>
        </w:rPr>
        <w:t>。达到或超过</w:t>
      </w:r>
      <w:r>
        <w:rPr>
          <w:rFonts w:ascii="Times New Roman" w:eastAsia="仿宋" w:hAnsi="Times New Roman" w:cs="Times New Roman"/>
          <w:sz w:val="32"/>
          <w:szCs w:val="32"/>
        </w:rPr>
        <w:t>80%</w:t>
      </w:r>
      <w:r>
        <w:rPr>
          <w:rFonts w:ascii="Times New Roman" w:eastAsia="仿宋" w:hAnsi="Times New Roman" w:cs="Times New Roman"/>
          <w:sz w:val="32"/>
          <w:szCs w:val="32"/>
        </w:rPr>
        <w:t>得</w:t>
      </w:r>
      <w:r>
        <w:rPr>
          <w:rFonts w:ascii="Times New Roman" w:eastAsia="仿宋" w:hAnsi="Times New Roman" w:cs="Times New Roman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分，其他分值的计算：比例值</w:t>
      </w:r>
      <w:r>
        <w:rPr>
          <w:rFonts w:ascii="Times New Roman" w:eastAsia="仿宋" w:hAnsi="Times New Roman" w:cs="Times New Roman"/>
          <w:sz w:val="32"/>
          <w:szCs w:val="32"/>
        </w:rPr>
        <w:t>/80%*4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0BC72025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、节能减排环保合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规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：符合国家和地方有关环境法律和法规，近五年无重大安全、环保、质量事故；配备能源、水源监测设备及污染物监测设备（计量仪器符合</w:t>
      </w:r>
      <w:r>
        <w:rPr>
          <w:rFonts w:ascii="Times New Roman" w:eastAsia="仿宋" w:hAnsi="Times New Roman" w:cs="Times New Roman"/>
          <w:sz w:val="32"/>
          <w:szCs w:val="32"/>
        </w:rPr>
        <w:t>GB 17167</w:t>
      </w:r>
      <w:r>
        <w:rPr>
          <w:rFonts w:ascii="Times New Roman" w:eastAsia="仿宋" w:hAnsi="Times New Roman" w:cs="Times New Roman"/>
          <w:sz w:val="32"/>
          <w:szCs w:val="32"/>
        </w:rPr>
        <w:t>和</w:t>
      </w:r>
      <w:r>
        <w:rPr>
          <w:rFonts w:ascii="Times New Roman" w:eastAsia="仿宋" w:hAnsi="Times New Roman" w:cs="Times New Roman"/>
          <w:sz w:val="32"/>
          <w:szCs w:val="32"/>
        </w:rPr>
        <w:t>GB 24789</w:t>
      </w:r>
      <w:r>
        <w:rPr>
          <w:rFonts w:ascii="Times New Roman" w:eastAsia="仿宋" w:hAnsi="Times New Roman" w:cs="Times New Roman"/>
          <w:sz w:val="32"/>
          <w:szCs w:val="32"/>
        </w:rPr>
        <w:t>）。</w:t>
      </w:r>
    </w:p>
    <w:p w14:paraId="7128E5F5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、产品回收率</w:t>
      </w:r>
      <w:r>
        <w:rPr>
          <w:rFonts w:ascii="Times New Roman" w:eastAsia="仿宋" w:hAnsi="Times New Roman" w:cs="Times New Roman"/>
          <w:sz w:val="32"/>
          <w:szCs w:val="32"/>
        </w:rPr>
        <w:t>X41</w:t>
      </w:r>
      <w:r>
        <w:rPr>
          <w:rFonts w:ascii="Times New Roman" w:eastAsia="仿宋" w:hAnsi="Times New Roman" w:cs="Times New Roman"/>
          <w:sz w:val="32"/>
          <w:szCs w:val="32"/>
        </w:rPr>
        <w:t>的基准值为</w:t>
      </w:r>
      <w:r>
        <w:rPr>
          <w:rFonts w:ascii="Times New Roman" w:eastAsia="仿宋" w:hAnsi="Times New Roman" w:cs="Times New Roman"/>
          <w:sz w:val="32"/>
          <w:szCs w:val="32"/>
        </w:rPr>
        <w:t>90%</w:t>
      </w:r>
      <w:r>
        <w:rPr>
          <w:rFonts w:ascii="Times New Roman" w:eastAsia="仿宋" w:hAnsi="Times New Roman" w:cs="Times New Roman"/>
          <w:sz w:val="32"/>
          <w:szCs w:val="32"/>
        </w:rPr>
        <w:t>，达到或超过</w:t>
      </w:r>
      <w:r>
        <w:rPr>
          <w:rFonts w:ascii="Times New Roman" w:eastAsia="仿宋" w:hAnsi="Times New Roman" w:cs="Times New Roman"/>
          <w:sz w:val="32"/>
          <w:szCs w:val="32"/>
        </w:rPr>
        <w:t>90%</w:t>
      </w:r>
      <w:r>
        <w:rPr>
          <w:rFonts w:ascii="Times New Roman" w:eastAsia="仿宋" w:hAnsi="Times New Roman" w:cs="Times New Roman"/>
          <w:sz w:val="32"/>
          <w:szCs w:val="32"/>
        </w:rPr>
        <w:t>得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分，其他分值的计算：比例值</w:t>
      </w:r>
      <w:r>
        <w:rPr>
          <w:rFonts w:ascii="Times New Roman" w:eastAsia="仿宋" w:hAnsi="Times New Roman" w:cs="Times New Roman"/>
          <w:sz w:val="32"/>
          <w:szCs w:val="32"/>
        </w:rPr>
        <w:t>/90%*5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490AE2E3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>、包装回收率</w:t>
      </w:r>
      <w:r>
        <w:rPr>
          <w:rFonts w:ascii="Times New Roman" w:eastAsia="仿宋" w:hAnsi="Times New Roman" w:cs="Times New Roman"/>
          <w:sz w:val="32"/>
          <w:szCs w:val="32"/>
        </w:rPr>
        <w:t>X42</w:t>
      </w:r>
      <w:r>
        <w:rPr>
          <w:rFonts w:ascii="Times New Roman" w:eastAsia="仿宋" w:hAnsi="Times New Roman" w:cs="Times New Roman"/>
          <w:sz w:val="32"/>
          <w:szCs w:val="32"/>
        </w:rPr>
        <w:t>的基准值为</w:t>
      </w:r>
      <w:r>
        <w:rPr>
          <w:rFonts w:ascii="Times New Roman" w:eastAsia="仿宋" w:hAnsi="Times New Roman" w:cs="Times New Roman"/>
          <w:sz w:val="32"/>
          <w:szCs w:val="32"/>
        </w:rPr>
        <w:t>80%</w:t>
      </w:r>
      <w:r>
        <w:rPr>
          <w:rFonts w:ascii="Times New Roman" w:eastAsia="仿宋" w:hAnsi="Times New Roman" w:cs="Times New Roman"/>
          <w:sz w:val="32"/>
          <w:szCs w:val="32"/>
        </w:rPr>
        <w:t>，达到或超过</w:t>
      </w:r>
      <w:r>
        <w:rPr>
          <w:rFonts w:ascii="Times New Roman" w:eastAsia="仿宋" w:hAnsi="Times New Roman" w:cs="Times New Roman"/>
          <w:sz w:val="32"/>
          <w:szCs w:val="32"/>
        </w:rPr>
        <w:t>80%</w:t>
      </w:r>
      <w:r>
        <w:rPr>
          <w:rFonts w:ascii="Times New Roman" w:eastAsia="仿宋" w:hAnsi="Times New Roman" w:cs="Times New Roman"/>
          <w:sz w:val="32"/>
          <w:szCs w:val="32"/>
        </w:rPr>
        <w:t>得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分，其他分值的计算：比例值</w:t>
      </w:r>
      <w:r>
        <w:rPr>
          <w:rFonts w:ascii="Times New Roman" w:eastAsia="仿宋" w:hAnsi="Times New Roman" w:cs="Times New Roman"/>
          <w:sz w:val="32"/>
          <w:szCs w:val="32"/>
        </w:rPr>
        <w:t>/80%*5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41AEF41C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、指导下游企业回收拆解：具备回收拆解信息管理系统，实现拆解信息的传递及产品的追溯。</w:t>
      </w:r>
    </w:p>
    <w:p w14:paraId="6FD7A13F" w14:textId="77777777" w:rsidR="0004221F" w:rsidRDefault="00000000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、绿色供应链管理信息平台完善：对企业及其供应商产品材质、工艺流程、能源资源消耗、污染物排放等信息进行有效</w:t>
      </w:r>
      <w:r>
        <w:rPr>
          <w:rFonts w:ascii="Times New Roman" w:eastAsia="仿宋" w:hAnsi="Times New Roman" w:cs="Times New Roman"/>
          <w:sz w:val="32"/>
          <w:szCs w:val="32"/>
        </w:rPr>
        <w:lastRenderedPageBreak/>
        <w:t>收集与管理。</w:t>
      </w:r>
    </w:p>
    <w:p w14:paraId="0867F956" w14:textId="307594EB" w:rsidR="0004221F" w:rsidRDefault="00000000" w:rsidP="009115E3">
      <w:pPr>
        <w:ind w:firstLineChars="200" w:firstLine="640"/>
        <w:rPr>
          <w:rFonts w:hint="eastAsia"/>
        </w:rPr>
      </w:pP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、披露企业节能减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排减碳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信息：具体包括有毒有害物质使用、能源资源利</w:t>
      </w:r>
      <w:r>
        <w:rPr>
          <w:rFonts w:ascii="仿宋" w:eastAsia="仿宋" w:hAnsi="仿宋" w:cs="仿宋" w:hint="eastAsia"/>
          <w:sz w:val="32"/>
          <w:szCs w:val="32"/>
        </w:rPr>
        <w:t>用效率、污染物排放、碳排放减少量、产品回收利用率等信息。</w:t>
      </w:r>
    </w:p>
    <w:sectPr w:rsidR="0004221F" w:rsidSect="009115E3">
      <w:footerReference w:type="default" r:id="rId12"/>
      <w:pgSz w:w="11906" w:h="16838"/>
      <w:pgMar w:top="1587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03E08" w14:textId="77777777" w:rsidR="003C30FC" w:rsidRDefault="003C30FC">
      <w:r>
        <w:separator/>
      </w:r>
    </w:p>
  </w:endnote>
  <w:endnote w:type="continuationSeparator" w:id="0">
    <w:p w14:paraId="5B0DC4A1" w14:textId="77777777" w:rsidR="003C30FC" w:rsidRDefault="003C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85E3F05-D440-49F9-915E-59EECB230694}"/>
  </w:font>
  <w:font w:name="Cambria">
    <w:altName w:val="FreeSerif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3833826-E1BF-4938-ABAB-E254A179BE07}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0926F00-AF03-498B-ACC4-E4DAD6E734A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398CB6E2-BC9C-4656-BBB0-792E3DC3F99C}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E1CF902-096A-4FF7-9AC9-8CE4B284DBE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35612" w14:textId="77777777" w:rsidR="0004221F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E2089D" wp14:editId="5B714E6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DD053C" w14:textId="77777777" w:rsidR="0004221F" w:rsidRDefault="00000000">
                          <w:pPr>
                            <w:pStyle w:val="a7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2089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EDD053C" w14:textId="77777777" w:rsidR="0004221F" w:rsidRDefault="00000000">
                    <w:pPr>
                      <w:pStyle w:val="a7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9EC5F" w14:textId="77777777" w:rsidR="003C30FC" w:rsidRDefault="003C30FC">
      <w:r>
        <w:separator/>
      </w:r>
    </w:p>
  </w:footnote>
  <w:footnote w:type="continuationSeparator" w:id="0">
    <w:p w14:paraId="14675E52" w14:textId="77777777" w:rsidR="003C30FC" w:rsidRDefault="003C3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5E44A7"/>
    <w:multiLevelType w:val="singleLevel"/>
    <w:tmpl w:val="AA5E44A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56506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saveSubset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U1NmFkYjM2ZjVlNjlhYTExODFlMTExZDY5YzQ0NzkifQ=="/>
  </w:docVars>
  <w:rsids>
    <w:rsidRoot w:val="048206D0"/>
    <w:rsid w:val="DB4DA0F3"/>
    <w:rsid w:val="DEA832AC"/>
    <w:rsid w:val="DEBC01F0"/>
    <w:rsid w:val="DF776388"/>
    <w:rsid w:val="DFBA756F"/>
    <w:rsid w:val="DFBCD8D7"/>
    <w:rsid w:val="DFFBE120"/>
    <w:rsid w:val="E27B61FD"/>
    <w:rsid w:val="E3B4CBE3"/>
    <w:rsid w:val="E977DDA9"/>
    <w:rsid w:val="ECDF1879"/>
    <w:rsid w:val="EFFD227A"/>
    <w:rsid w:val="F07589AE"/>
    <w:rsid w:val="F3BD88C6"/>
    <w:rsid w:val="F47F1B27"/>
    <w:rsid w:val="F75ABC8E"/>
    <w:rsid w:val="F75E7FF3"/>
    <w:rsid w:val="FA177397"/>
    <w:rsid w:val="FAF70C33"/>
    <w:rsid w:val="FBC9F6AF"/>
    <w:rsid w:val="FBF7176A"/>
    <w:rsid w:val="FBFBE067"/>
    <w:rsid w:val="FD6F8147"/>
    <w:rsid w:val="FD7D0F25"/>
    <w:rsid w:val="FDBF3A85"/>
    <w:rsid w:val="FFFDBE21"/>
    <w:rsid w:val="FFFFB62C"/>
    <w:rsid w:val="0004221F"/>
    <w:rsid w:val="003C30FC"/>
    <w:rsid w:val="009115E3"/>
    <w:rsid w:val="00FB2B84"/>
    <w:rsid w:val="032B1364"/>
    <w:rsid w:val="048206D0"/>
    <w:rsid w:val="074070D9"/>
    <w:rsid w:val="07D84032"/>
    <w:rsid w:val="09FDF9E4"/>
    <w:rsid w:val="0A60366D"/>
    <w:rsid w:val="0B0541D3"/>
    <w:rsid w:val="0B1C3A38"/>
    <w:rsid w:val="0C076962"/>
    <w:rsid w:val="0C636059"/>
    <w:rsid w:val="0F8B5349"/>
    <w:rsid w:val="0FD37A7A"/>
    <w:rsid w:val="11773445"/>
    <w:rsid w:val="147A0D4D"/>
    <w:rsid w:val="1496293B"/>
    <w:rsid w:val="14C84877"/>
    <w:rsid w:val="16AB0D93"/>
    <w:rsid w:val="19456FFF"/>
    <w:rsid w:val="19C836B0"/>
    <w:rsid w:val="1B47424D"/>
    <w:rsid w:val="1CCB7DF1"/>
    <w:rsid w:val="1DAA6CCD"/>
    <w:rsid w:val="1F3C7DAD"/>
    <w:rsid w:val="21B967B4"/>
    <w:rsid w:val="23B550DA"/>
    <w:rsid w:val="2ADFEC52"/>
    <w:rsid w:val="2E9ECEED"/>
    <w:rsid w:val="2FAE4E12"/>
    <w:rsid w:val="2FB3C4D6"/>
    <w:rsid w:val="30DD30CD"/>
    <w:rsid w:val="30E6689F"/>
    <w:rsid w:val="31276A68"/>
    <w:rsid w:val="32704B72"/>
    <w:rsid w:val="36F4DDFD"/>
    <w:rsid w:val="373AA113"/>
    <w:rsid w:val="375E188C"/>
    <w:rsid w:val="3ABB2BCE"/>
    <w:rsid w:val="3B921FD3"/>
    <w:rsid w:val="3C682315"/>
    <w:rsid w:val="3DB34366"/>
    <w:rsid w:val="3DB66D2A"/>
    <w:rsid w:val="3DF775A7"/>
    <w:rsid w:val="3FFBD32F"/>
    <w:rsid w:val="41732585"/>
    <w:rsid w:val="41B55E5D"/>
    <w:rsid w:val="41CC1D83"/>
    <w:rsid w:val="42CE2C30"/>
    <w:rsid w:val="43541944"/>
    <w:rsid w:val="44CD4625"/>
    <w:rsid w:val="45D47A8E"/>
    <w:rsid w:val="47EC843E"/>
    <w:rsid w:val="47F59F66"/>
    <w:rsid w:val="4951687B"/>
    <w:rsid w:val="4CBF5AEF"/>
    <w:rsid w:val="4D151503"/>
    <w:rsid w:val="4E7BFAD8"/>
    <w:rsid w:val="4F242A1C"/>
    <w:rsid w:val="4F4B4FFB"/>
    <w:rsid w:val="546F301C"/>
    <w:rsid w:val="56DD85F3"/>
    <w:rsid w:val="57AEBA78"/>
    <w:rsid w:val="57FC262A"/>
    <w:rsid w:val="58DB9654"/>
    <w:rsid w:val="59056E93"/>
    <w:rsid w:val="59810D9E"/>
    <w:rsid w:val="5BF66209"/>
    <w:rsid w:val="5D8911C8"/>
    <w:rsid w:val="5F79FE19"/>
    <w:rsid w:val="5F7F8C6C"/>
    <w:rsid w:val="635E7967"/>
    <w:rsid w:val="641F5E4B"/>
    <w:rsid w:val="67393480"/>
    <w:rsid w:val="677E611A"/>
    <w:rsid w:val="6BBFCBBA"/>
    <w:rsid w:val="6DBC9B2F"/>
    <w:rsid w:val="6EF055FA"/>
    <w:rsid w:val="72224F2D"/>
    <w:rsid w:val="7326A85A"/>
    <w:rsid w:val="734764DA"/>
    <w:rsid w:val="756A30EE"/>
    <w:rsid w:val="758DA529"/>
    <w:rsid w:val="75EED831"/>
    <w:rsid w:val="77615F32"/>
    <w:rsid w:val="77CF43D9"/>
    <w:rsid w:val="77D45B61"/>
    <w:rsid w:val="78002119"/>
    <w:rsid w:val="7857132C"/>
    <w:rsid w:val="78AFCAE2"/>
    <w:rsid w:val="79130D4C"/>
    <w:rsid w:val="797A042B"/>
    <w:rsid w:val="79FF99B4"/>
    <w:rsid w:val="7AB41F05"/>
    <w:rsid w:val="7AB7ABF1"/>
    <w:rsid w:val="7BF75552"/>
    <w:rsid w:val="7CFFA207"/>
    <w:rsid w:val="7D156AB6"/>
    <w:rsid w:val="7D79A99F"/>
    <w:rsid w:val="7DB56593"/>
    <w:rsid w:val="7DFB449B"/>
    <w:rsid w:val="7EFEA330"/>
    <w:rsid w:val="7F3DBACA"/>
    <w:rsid w:val="7F536244"/>
    <w:rsid w:val="7F6F2B4E"/>
    <w:rsid w:val="7F6F6AB4"/>
    <w:rsid w:val="7FD20F59"/>
    <w:rsid w:val="7FD3CA3A"/>
    <w:rsid w:val="7FDE5079"/>
    <w:rsid w:val="7FEC09F4"/>
    <w:rsid w:val="7FED8542"/>
    <w:rsid w:val="7FF7570B"/>
    <w:rsid w:val="7FFF536C"/>
    <w:rsid w:val="977B07B2"/>
    <w:rsid w:val="9F390D99"/>
    <w:rsid w:val="9F3F5097"/>
    <w:rsid w:val="B77F3157"/>
    <w:rsid w:val="B7F76331"/>
    <w:rsid w:val="B9DFE71A"/>
    <w:rsid w:val="BBFD2202"/>
    <w:rsid w:val="BCFCB901"/>
    <w:rsid w:val="BF7D695E"/>
    <w:rsid w:val="BF8733BA"/>
    <w:rsid w:val="BF9F656B"/>
    <w:rsid w:val="BFDDD732"/>
    <w:rsid w:val="BFEB0C01"/>
    <w:rsid w:val="C5ED9BA5"/>
    <w:rsid w:val="C7F94806"/>
    <w:rsid w:val="D3FE5AA1"/>
    <w:rsid w:val="D5CFD378"/>
    <w:rsid w:val="D8FE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  <w14:docId w14:val="23AB49A0"/>
  <w15:docId w15:val="{3B753FFE-1DDF-4A8C-A8FF-CE3B08B4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uiPriority="10" w:qFormat="1"/>
    <w:lsdException w:name="Default Paragraph Font" w:semiHidden="1" w:qFormat="1"/>
    <w:lsdException w:name="Body Text" w:qFormat="1"/>
    <w:lsdException w:name="Body Text Indent" w:uiPriority="99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pPr>
      <w:spacing w:after="120"/>
    </w:p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</w:pPr>
    <w:rPr>
      <w:rFonts w:eastAsia="方正小标宋简体"/>
      <w:bCs/>
      <w:sz w:val="44"/>
      <w:szCs w:val="32"/>
    </w:rPr>
  </w:style>
  <w:style w:type="paragraph" w:styleId="a6">
    <w:name w:val="Body Text Indent"/>
    <w:basedOn w:val="a"/>
    <w:uiPriority w:val="99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customStyle="1" w:styleId="ae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</w:rPr>
  </w:style>
  <w:style w:type="paragraph" w:customStyle="1" w:styleId="4">
    <w:name w:val="列出段落4"/>
    <w:basedOn w:val="a"/>
    <w:uiPriority w:val="34"/>
    <w:qFormat/>
    <w:pPr>
      <w:ind w:firstLineChars="200" w:firstLine="420"/>
    </w:pPr>
  </w:style>
  <w:style w:type="paragraph" w:customStyle="1" w:styleId="11">
    <w:name w:val="列表段落1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OC1">
    <w:name w:val="TOC 标题1"/>
    <w:basedOn w:val="1"/>
    <w:next w:val="a"/>
    <w:uiPriority w:val="99"/>
    <w:qFormat/>
    <w:pPr>
      <w:widowControl/>
      <w:spacing w:before="24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paragraph" w:customStyle="1" w:styleId="2">
    <w:name w:val="正文2"/>
    <w:basedOn w:val="a"/>
    <w:next w:val="a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</dc:creator>
  <cp:lastModifiedBy>睿 常</cp:lastModifiedBy>
  <cp:revision>2</cp:revision>
  <cp:lastPrinted>2024-01-12T19:12:00Z</cp:lastPrinted>
  <dcterms:created xsi:type="dcterms:W3CDTF">2024-05-30T03:04:00Z</dcterms:created>
  <dcterms:modified xsi:type="dcterms:W3CDTF">2024-05-30T03:04:00Z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2AA23988025A4E76A51B66E10A1C7FF7_13</vt:lpwstr>
  </property>
</Properties>
</file>