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7AA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</w:t>
      </w:r>
    </w:p>
    <w:p w14:paraId="359891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</w:pPr>
    </w:p>
    <w:p w14:paraId="150C96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</w:p>
    <w:p w14:paraId="27D2EE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</w:rPr>
        <w:t>山东省人工智能赋能有色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金属行业</w:t>
      </w:r>
    </w:p>
    <w:p w14:paraId="5FF527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黄金、铜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eastAsia="zh-CN"/>
        </w:rPr>
        <w:t>）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行动方案（2026—2028年）</w:t>
      </w:r>
    </w:p>
    <w:p w14:paraId="29487B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征求意见稿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）</w:t>
      </w:r>
    </w:p>
    <w:p w14:paraId="03EB1F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2312" w:cs="方正仿宋_GB2312"/>
          <w:sz w:val="32"/>
          <w:szCs w:val="32"/>
        </w:rPr>
      </w:pPr>
    </w:p>
    <w:p w14:paraId="3E476A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紧跟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国家“人工智能+制造”、模数共振行动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系列</w:t>
      </w:r>
      <w:r>
        <w:rPr>
          <w:rFonts w:hint="eastAsia" w:ascii="Times New Roman" w:hAnsi="Times New Roman" w:eastAsia="仿宋_GB2312" w:cs="仿宋_GB2312"/>
          <w:sz w:val="32"/>
          <w:szCs w:val="32"/>
        </w:rPr>
        <w:t>部署，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落实省委、省人民政府关于加快人工智能赋能重点领域高质量发展等工作要求，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推动人工</w:t>
      </w:r>
      <w:bookmarkStart w:id="5" w:name="_GoBack"/>
      <w:bookmarkEnd w:id="5"/>
      <w:r>
        <w:rPr>
          <w:rFonts w:hint="eastAsia" w:ascii="Times New Roman" w:hAnsi="Times New Roman" w:eastAsia="仿宋_GB2312" w:cs="仿宋_GB2312"/>
          <w:sz w:val="32"/>
          <w:szCs w:val="32"/>
        </w:rPr>
        <w:t>智能深度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赋能有色（黄金、铜）产业</w:t>
      </w:r>
      <w:bookmarkStart w:id="0" w:name="OLE_LINK2"/>
      <w:r>
        <w:rPr>
          <w:rFonts w:hint="eastAsia" w:ascii="Times New Roman" w:hAnsi="Times New Roman" w:eastAsia="仿宋_GB2312" w:cs="仿宋_GB2312"/>
          <w:sz w:val="32"/>
          <w:szCs w:val="32"/>
        </w:rPr>
        <w:t>勘查、开采、选矿、冶炼、深加工、新材料研发、固废资源化、安全环保全链条</w:t>
      </w:r>
      <w:bookmarkEnd w:id="0"/>
      <w:r>
        <w:rPr>
          <w:rFonts w:hint="eastAsia" w:ascii="Times New Roman" w:hAnsi="Times New Roman" w:eastAsia="仿宋_GB2312" w:cs="仿宋_GB2312"/>
          <w:sz w:val="32"/>
          <w:szCs w:val="32"/>
        </w:rPr>
        <w:t>，破解深部矿山开采、复杂选冶调控、高端材料研发、再生金属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利用</w:t>
      </w:r>
      <w:r>
        <w:rPr>
          <w:rFonts w:hint="eastAsia" w:ascii="Times New Roman" w:hAnsi="Times New Roman" w:eastAsia="仿宋_GB2312" w:cs="仿宋_GB2312"/>
          <w:sz w:val="32"/>
          <w:szCs w:val="32"/>
        </w:rPr>
        <w:t>等痛点难点，为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全省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有色金属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行业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稳增长、强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链群</w:t>
      </w:r>
      <w:r>
        <w:rPr>
          <w:rFonts w:hint="eastAsia" w:ascii="Times New Roman" w:hAnsi="Times New Roman" w:eastAsia="仿宋_GB2312" w:cs="仿宋_GB2312"/>
          <w:sz w:val="32"/>
          <w:szCs w:val="32"/>
        </w:rPr>
        <w:t>提供数智新动能，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持续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巩固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我省黄金、铜等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产业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的全国领跑优势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制定本行动方案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38F3DE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工作目标</w:t>
      </w:r>
    </w:p>
    <w:p w14:paraId="64F52F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以习近平新时代中国特色社会主义思想为指导，深入贯彻党的二十大和历次全会精神，以推动黄金、铜等我省具备领跑优势的有色产业高质量发展为主题，以建立完善“数据—模型—场景—产业”四位一体的良性体系为依托，加快人工智能与黄金、铜产业链深入融合，培育壮大有色产业新质生产力。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2026年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鼓励企业探索有色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产业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语料库建设模式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依托企业搭建黄金、铜产业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大脑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首批落地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个标杆场景。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2027年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黄金、铜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产业大脑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成熟度进一步提升，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累计建成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个标杆场景，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胶东黄金主产区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大铜产业集群规模化推广AI应用。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2028年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初步形成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完备的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“数据—模型—场景—产业”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应用体系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累计建成10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左右的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标杆场景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形成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在省内可</w:t>
      </w:r>
      <w:r>
        <w:rPr>
          <w:rFonts w:hint="eastAsia" w:ascii="Times New Roman" w:hAnsi="Times New Roman" w:eastAsia="仿宋_GB2312" w:cs="仿宋_GB2312"/>
          <w:sz w:val="32"/>
          <w:szCs w:val="32"/>
        </w:rPr>
        <w:t>复制、向全国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可</w:t>
      </w:r>
      <w:r>
        <w:rPr>
          <w:rFonts w:hint="eastAsia" w:ascii="Times New Roman" w:hAnsi="Times New Roman" w:eastAsia="仿宋_GB2312" w:cs="仿宋_GB2312"/>
          <w:sz w:val="32"/>
          <w:szCs w:val="32"/>
        </w:rPr>
        <w:t>输出的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经验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模式。</w:t>
      </w:r>
    </w:p>
    <w:p w14:paraId="069DD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二、重点任务</w:t>
      </w:r>
    </w:p>
    <w:p w14:paraId="156EFE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（一）夯实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行业</w:t>
      </w:r>
      <w:r>
        <w:rPr>
          <w:rFonts w:hint="eastAsia" w:ascii="Times New Roman" w:hAnsi="Times New Roman" w:eastAsia="楷体_GB2312" w:cs="楷体_GB2312"/>
          <w:sz w:val="32"/>
          <w:szCs w:val="32"/>
        </w:rPr>
        <w:t>数智</w:t>
      </w:r>
      <w:r>
        <w:rPr>
          <w:rFonts w:hint="eastAsia" w:ascii="Times New Roman" w:hAnsi="Times New Roman" w:eastAsia="楷体_GB2312" w:cs="楷体_GB2312"/>
          <w:sz w:val="32"/>
          <w:szCs w:val="32"/>
          <w:lang w:eastAsia="zh-CN"/>
        </w:rPr>
        <w:t>化</w:t>
      </w:r>
      <w:r>
        <w:rPr>
          <w:rFonts w:hint="eastAsia" w:ascii="Times New Roman" w:hAnsi="Times New Roman" w:eastAsia="楷体_GB2312" w:cs="楷体_GB2312"/>
          <w:sz w:val="32"/>
          <w:szCs w:val="32"/>
        </w:rPr>
        <w:t>底座</w:t>
      </w:r>
    </w:p>
    <w:p w14:paraId="72DB00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1.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加快语料库建设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引导黄金、铜等有色领域企业围绕勘查、开采、选矿、冶炼、深加工、新材料研发、固废资源化、安全环保等全链条，开展数据语料采集、标注、清洗、存储、治理、应用，实现企业数据语料全生命周期管理。支撑高校院所、行业协会、专业服务商等单位，探索语料库评估和数据仓共享机制，统筹整合</w:t>
      </w:r>
      <w:r>
        <w:rPr>
          <w:rFonts w:hint="eastAsia" w:ascii="Times New Roman" w:hAnsi="Times New Roman" w:eastAsia="仿宋_GB2312" w:cs="仿宋_GB2312"/>
          <w:sz w:val="32"/>
          <w:szCs w:val="32"/>
        </w:rPr>
        <w:t>地质勘查、矿山时序、浮选冶炼、产品质检、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研发设计、节能减排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固废利用、安全环保等高质量数据集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提升服务有色行业高质量发展能力。</w:t>
      </w:r>
      <w:bookmarkStart w:id="1" w:name="OLE_LINK3"/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（牵头单位：省工业和信息化厅，责任单位：省发展改革委、省科技厅、省自然资源厅、省生态环境厅、省大数据局、省能源局、省地矿局）</w:t>
      </w:r>
    </w:p>
    <w:bookmarkEnd w:id="1"/>
    <w:p w14:paraId="409093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2.创新数据使用模式。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支持企业放大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“产业大脑+行业大模型”成熟范式，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打造黄金、铜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产业大脑，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鼓励企业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建设企业级数字孪生系统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有效</w:t>
      </w:r>
      <w:r>
        <w:rPr>
          <w:rFonts w:hint="eastAsia" w:ascii="Times New Roman" w:hAnsi="Times New Roman" w:eastAsia="仿宋_GB2312" w:cs="仿宋_GB2312"/>
          <w:sz w:val="32"/>
          <w:szCs w:val="32"/>
        </w:rPr>
        <w:t>汇聚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各类</w:t>
      </w:r>
      <w:r>
        <w:rPr>
          <w:rFonts w:hint="eastAsia" w:ascii="Times New Roman" w:hAnsi="Times New Roman" w:eastAsia="仿宋_GB2312" w:cs="仿宋_GB2312"/>
          <w:sz w:val="32"/>
          <w:szCs w:val="32"/>
        </w:rPr>
        <w:t>数据，实现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生产运营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产能</w:t>
      </w:r>
      <w:r>
        <w:rPr>
          <w:rFonts w:hint="eastAsia" w:ascii="Times New Roman" w:hAnsi="Times New Roman" w:eastAsia="仿宋_GB2312" w:cs="仿宋_GB2312"/>
          <w:sz w:val="32"/>
          <w:szCs w:val="32"/>
        </w:rPr>
        <w:t>预警、能耗双控、安全环保一体化调度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拓展数据运用范围和适用效率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鼓励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企业联合高校、科研院所、算力平台、AI服务商组建创新联合体，开展数据集建设、行业模型研发、测试验证，打造有色行业AI“样板间”，对接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各级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“人工智能+制造”活动。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（牵头单位：省工业和信息化厅，责任单位：省自然资源厅、省生态环境厅、省大数据局）</w:t>
      </w:r>
    </w:p>
    <w:p w14:paraId="17840A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（二）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培育垂域大</w:t>
      </w:r>
      <w:r>
        <w:rPr>
          <w:rFonts w:hint="eastAsia" w:ascii="Times New Roman" w:hAnsi="Times New Roman" w:eastAsia="楷体_GB2312" w:cs="楷体_GB2312"/>
          <w:sz w:val="32"/>
          <w:szCs w:val="32"/>
        </w:rPr>
        <w:t>模型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楷体_GB2312" w:cs="楷体_GB2312"/>
          <w:sz w:val="32"/>
          <w:szCs w:val="32"/>
        </w:rPr>
        <w:t>智能体</w:t>
      </w:r>
    </w:p>
    <w:p w14:paraId="6C76A7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1.黄金矿山勘查与深部开采模型。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依托胶东世界级黄金富集区，鼓励企业研发AI成矿靶区优选、三维地质智能解译、深部围岩稳定性预测智能体、井下风险预警等模型，支撑新一轮找矿突破战略行动，服务焦家、三山岛、招平、牟乳矿带数字孪生矿山建设，提升深部资源勘查与开采安全保障水平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（牵头单位：省自然资源厅、省地矿局，责任单位：省大数据局）</w:t>
      </w:r>
    </w:p>
    <w:p w14:paraId="663946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2.采选冶全流程工艺优化模型（黄金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铜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）。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鼓励企业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迭代升级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黄金冶炼、精炼、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电解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铜等数字化智能化生产控制系统，支持有实力的企业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开发电解精炼、浮选智能调控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铜闪速熔炼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等大</w:t>
      </w:r>
      <w:r>
        <w:rPr>
          <w:rFonts w:hint="eastAsia" w:ascii="Times New Roman" w:hAnsi="Times New Roman" w:eastAsia="仿宋_GB2312" w:cs="仿宋_GB2312"/>
          <w:sz w:val="32"/>
          <w:szCs w:val="32"/>
        </w:rPr>
        <w:t>模型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攻关黄金难选冶、无氰提金工艺优化模型，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进一步实现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工艺参数动态寻优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和能耗电耗降低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（牵头单位：省工业和信息化厅，责任单位：省发展改革委、省能源局、省大数据局）</w:t>
      </w:r>
    </w:p>
    <w:p w14:paraId="0571B0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3.高端有色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金属</w:t>
      </w: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新材料智能研发模型。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开发高通量材料筛选智能模型，面向锂电铜箔、5N高纯铜、高强高导铜合金、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GPU高速铜缆、算力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金属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，开展虚拟配方试配、性能预测，缩短新材料研发周期，支撑“卡脖子”材料攻关。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（牵头单位：省工业和信息化厅，责任单位：省科技厅、省大数据局）</w:t>
      </w:r>
    </w:p>
    <w:p w14:paraId="571A4D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4.再生有色及固废资源化AI模型。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面向临沂再生铜、滨临烟再生铝基地，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研发机器视觉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—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光谱融合再生金属智能分选模型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尾矿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综合利用模型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、冶炼渣固废资源化智能评估模型，提升再生原料纯度、伴生组分回收效率，助力城市矿产建设。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（牵头单位：省工业和信息化厅，责任单位：省生态环境厅、省大数据局）</w:t>
      </w:r>
    </w:p>
    <w:p w14:paraId="42981D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r>
        <w:rPr>
          <w:rFonts w:hint="eastAsia" w:ascii="Times New Roman" w:hAnsi="Times New Roman" w:eastAsia="楷体_GB2312" w:cs="楷体_GB2312"/>
          <w:sz w:val="32"/>
          <w:szCs w:val="32"/>
        </w:rPr>
        <w:t>（三）打造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典型应用</w:t>
      </w:r>
      <w:r>
        <w:rPr>
          <w:rFonts w:hint="eastAsia" w:ascii="Times New Roman" w:hAnsi="Times New Roman" w:eastAsia="楷体_GB2312" w:cs="楷体_GB2312"/>
          <w:sz w:val="32"/>
          <w:szCs w:val="32"/>
        </w:rPr>
        <w:t>场景</w:t>
      </w:r>
    </w:p>
    <w:p w14:paraId="1B9B28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1.智能勘查与数字孪生智慧矿山场景（黄金）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。在胶东黄金主产区开展AI地质靶区预测、三维地质建模、井下视频AI违章识别、围岩形变监测、无人采掘装备调度、尾矿库风险智能预警等应用场景建设。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仿宋_GB2312" w:cs="仿宋_GB2312"/>
          <w:sz w:val="32"/>
          <w:szCs w:val="32"/>
        </w:rPr>
        <w:t>焦家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带、招平带、三山岛带、牟乳带等重点金矿聚集区，支持企业建设</w:t>
      </w:r>
      <w:r>
        <w:rPr>
          <w:rFonts w:hint="eastAsia" w:ascii="Times New Roman" w:hAnsi="Times New Roman" w:eastAsia="仿宋_GB2312" w:cs="仿宋_GB2312"/>
          <w:sz w:val="32"/>
          <w:szCs w:val="32"/>
        </w:rPr>
        <w:t>金矿AI深部开采安全预警示范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系统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bookmarkStart w:id="2" w:name="OLE_LINK4"/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（牵头单位：省自然资源厅、省地矿局）</w:t>
      </w:r>
    </w:p>
    <w:bookmarkEnd w:id="2"/>
    <w:p w14:paraId="15CCE1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2.冶炼全流程智能优化场景（铜冶炼、黄金冶炼精炼）。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铜冶炼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黄金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冶炼、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精炼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应用数字孪生系统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AI调控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等新一代信息技术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开展</w:t>
      </w:r>
      <w:r>
        <w:rPr>
          <w:rFonts w:hint="eastAsia" w:ascii="Times New Roman" w:hAnsi="Times New Roman" w:eastAsia="仿宋_GB2312" w:cs="仿宋_GB2312"/>
          <w:sz w:val="32"/>
          <w:szCs w:val="32"/>
        </w:rPr>
        <w:t>炉况AI预判、烟气成分智能监测、能耗智能调度、关键设备预测性维护。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（牵头单位：省工业和信息化厅、省国资委，责任单位：省大数据局）</w:t>
      </w:r>
    </w:p>
    <w:p w14:paraId="633C1D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3.深加工与新材料AI智能质检场景。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聚焦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金丝、金盐、金箔、键合材料、高性能易偏析铜合金、稀贵金属特种合金等高端延链产品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支持有条件的企业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部署工业视觉大模型，开展表面缺陷在线检测、高精度尺寸测量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AI辅助轧制、挤压工艺参数智能推荐，提升高端材料一致性和良品率。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（牵头单位：省工业和信息化厅、省国资委，责任单位：省大数据局）</w:t>
      </w:r>
    </w:p>
    <w:p w14:paraId="555F4B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4.再生有色金属智能分选循环利用场景。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依托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临沂、滨州、烟台、东营等地现有铜、金等有色金属回收利用产业基础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支持有条件的企业投资</w:t>
      </w:r>
      <w:r>
        <w:rPr>
          <w:rFonts w:hint="eastAsia" w:ascii="Times New Roman" w:hAnsi="Times New Roman" w:eastAsia="仿宋_GB2312" w:cs="仿宋_GB2312"/>
          <w:sz w:val="32"/>
          <w:szCs w:val="32"/>
        </w:rPr>
        <w:t>建设AI智能分选产线，实现废杂铜、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动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力电池固废、光伏组件固废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 w:cs="仿宋_GB2312"/>
          <w:sz w:val="32"/>
          <w:szCs w:val="32"/>
        </w:rPr>
        <w:t>自动识别分拣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提高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智能化分解和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固废综合利用率。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（牵头单位：省工业和信息化厅，责任单位：省商务厅、省供销社）</w:t>
      </w:r>
    </w:p>
    <w:p w14:paraId="55AE62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5.安全环保、节能减碳一体化智能管控场景。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支持企业在用好现有智慧矿山、智能冶炼、安全生产、节能减排等信息技术系统的基础上，进一步深化人工智能技术对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井下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仿宋_GB2312"/>
          <w:sz w:val="32"/>
          <w:szCs w:val="32"/>
        </w:rPr>
        <w:t>冶炼车间违章作业识别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有毒有害气体监测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碳排智能核算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绿电消纳调度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超低排放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在线监测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、碳足迹评价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等赋能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bookmarkStart w:id="3" w:name="OLE_LINK5"/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（牵头单位：省生态环境厅、省能源局）</w:t>
      </w:r>
    </w:p>
    <w:bookmarkEnd w:id="3"/>
    <w:p w14:paraId="67F2FE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</w:rPr>
      </w:pPr>
      <w:bookmarkStart w:id="4" w:name="OLE_LINK6"/>
      <w:r>
        <w:rPr>
          <w:rFonts w:hint="eastAsia" w:ascii="Times New Roman" w:hAnsi="Times New Roman" w:eastAsia="楷体_GB2312" w:cs="楷体_GB2312"/>
          <w:sz w:val="32"/>
          <w:szCs w:val="32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楷体_GB2312" w:cs="楷体_GB2312"/>
          <w:sz w:val="32"/>
          <w:szCs w:val="32"/>
        </w:rPr>
        <w:t>）筑牢安全风险防控底线</w:t>
      </w:r>
    </w:p>
    <w:bookmarkEnd w:id="4"/>
    <w:p w14:paraId="66E785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1.深化人工智能赋能。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压紧压实企业安全生产主体责任，引导企业加大智能安全装备研发投入支持企业在有色金属冶炼、压延加工等高危工序推广“机器换人”、AI辅助，推进智能感知、在线研判落地应用，持续优化作业场景，强化一线从业人员安全防护。</w:t>
      </w:r>
      <w:r>
        <w:rPr>
          <w:rFonts w:hint="eastAsia" w:ascii="Times New Roman" w:hAnsi="Times New Roman" w:eastAsia="楷体_GB2312" w:cs="楷体_GB2312"/>
          <w:sz w:val="32"/>
          <w:szCs w:val="32"/>
          <w:highlight w:val="none"/>
          <w:lang w:val="en-US" w:eastAsia="zh-CN"/>
        </w:rPr>
        <w:t>（牵头单位：省工业和信息化厅）</w:t>
      </w:r>
    </w:p>
    <w:p w14:paraId="156602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  <w:lang w:val="en-US" w:eastAsia="zh-CN"/>
        </w:rPr>
        <w:t>2.强化数据安全治理。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严格贯彻《中华人民共和国数据安全法》《工业和信息化领域数据安全管理办法（试行）》，对地质勘查资料、核心生产工艺、产业链供应链数据实施分类分级保护。健全有色行业工业大模型上线评测、迭代优化、人工复核闭环机制，有效防控模型幻觉、算法误判等风险，严防由此引发生产安全隐患与事故。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（牵头单位：省工业和信息化厅、省大数据局按分工负责）</w:t>
      </w:r>
    </w:p>
    <w:p w14:paraId="498FC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三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黑体" w:cs="黑体"/>
          <w:sz w:val="32"/>
          <w:szCs w:val="32"/>
        </w:rPr>
        <w:t>工作要求</w:t>
      </w:r>
    </w:p>
    <w:p w14:paraId="16C105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充分</w:t>
      </w:r>
      <w:r>
        <w:rPr>
          <w:rFonts w:hint="eastAsia" w:ascii="Times New Roman" w:hAnsi="Times New Roman" w:eastAsia="仿宋_GB2312" w:cs="仿宋_GB2312"/>
          <w:sz w:val="32"/>
          <w:szCs w:val="32"/>
        </w:rPr>
        <w:t>发挥省制造强省建设领导小组的统筹协调作用，强化省市县三级联动，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强力推进人工智能赋能有色金属行业高质量发展工作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。用足用好国家及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省市县各级</w:t>
      </w:r>
      <w:r>
        <w:rPr>
          <w:rFonts w:hint="eastAsia" w:ascii="Times New Roman" w:hAnsi="Times New Roman" w:eastAsia="仿宋_GB2312" w:cs="仿宋_GB2312"/>
          <w:sz w:val="32"/>
          <w:szCs w:val="32"/>
        </w:rPr>
        <w:t>加快人工智能高质量发展的相关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政策，发挥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人工智能产业投资基金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等各类基金撬动</w:t>
      </w:r>
      <w:r>
        <w:rPr>
          <w:rFonts w:hint="eastAsia" w:ascii="Times New Roman" w:hAnsi="Times New Roman" w:eastAsia="仿宋_GB2312" w:cs="仿宋_GB2312"/>
          <w:sz w:val="32"/>
          <w:szCs w:val="32"/>
        </w:rPr>
        <w:t>作用，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鼓励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引导金融机构加大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对有色金属企业开展人工智能改造项目的综合金融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支持。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支持</w:t>
      </w:r>
      <w:r>
        <w:rPr>
          <w:rFonts w:hint="eastAsia" w:ascii="Times New Roman" w:hAnsi="Times New Roman" w:eastAsia="仿宋_GB2312" w:cs="仿宋_GB2312"/>
          <w:sz w:val="32"/>
          <w:szCs w:val="32"/>
        </w:rPr>
        <w:t>高校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院所加大在有色金属行业领域人工智能人才培养、平台打造、产学研合作等方面创新拓展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，为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有色金属行业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人工智能发展提供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有效</w:t>
      </w:r>
      <w:r>
        <w:rPr>
          <w:rFonts w:hint="eastAsia" w:ascii="Times New Roman" w:hAnsi="Times New Roman" w:eastAsia="仿宋_GB2312" w:cs="仿宋_GB2312"/>
          <w:sz w:val="32"/>
          <w:szCs w:val="32"/>
        </w:rPr>
        <w:t>支撑。鼓励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市地依据产业基础和资源禀赋</w:t>
      </w:r>
      <w:r>
        <w:rPr>
          <w:rFonts w:hint="eastAsia" w:ascii="Times New Roman" w:hAnsi="Times New Roman" w:eastAsia="仿宋_GB2312" w:cs="仿宋_GB2312"/>
          <w:sz w:val="32"/>
          <w:szCs w:val="32"/>
        </w:rPr>
        <w:t>制定相应的支持政策，引导人工智能赋能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有色金属行业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高质量发展。</w:t>
      </w:r>
      <w:r>
        <w:rPr>
          <w:rFonts w:hint="eastAsia" w:ascii="Times New Roman" w:hAnsi="Times New Roman" w:eastAsia="方正仿宋_GB2312" w:cs="方正仿宋_GB2312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楷体_GB2312"/>
          <w:sz w:val="32"/>
          <w:szCs w:val="32"/>
          <w:lang w:val="en-US" w:eastAsia="zh-CN"/>
        </w:rPr>
        <w:t>责任单位：省委金融办、省发展改革委、省教育厅、省科技厅、省工业和信息化厅、省财政厅）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82EF012-E604-4E27-BB66-52AD45E360E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72D29FE-9C47-4939-AD74-B6880C45AD3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5857830-CAE9-42BC-B5AD-B6B8541541E3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CD6BBCD5-F74A-4B9C-B40E-1DD5DF4FF0B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983C8F4-D671-438B-9DFD-7F3805AA2DA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4ABE9268-4ED0-4F5B-A9A5-B863729EBA9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D2F9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CEDB4B">
                          <w:pPr>
                            <w:pStyle w:val="6"/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CEDB4B">
                    <w:pPr>
                      <w:pStyle w:val="6"/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EAFB8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yYTQ5YWQyY2JkMTA0Y2UyMzc0NDNkODdhODljNWMifQ=="/>
  </w:docVars>
  <w:rsids>
    <w:rsidRoot w:val="072E5296"/>
    <w:rsid w:val="072E5296"/>
    <w:rsid w:val="10C16FA1"/>
    <w:rsid w:val="114E14F4"/>
    <w:rsid w:val="1568168F"/>
    <w:rsid w:val="1D16705E"/>
    <w:rsid w:val="20D80DFA"/>
    <w:rsid w:val="26FA23BF"/>
    <w:rsid w:val="2EF0701C"/>
    <w:rsid w:val="328F0360"/>
    <w:rsid w:val="33994105"/>
    <w:rsid w:val="37091AF6"/>
    <w:rsid w:val="377B6E7D"/>
    <w:rsid w:val="3AFB1ED1"/>
    <w:rsid w:val="3B491F7E"/>
    <w:rsid w:val="3F8B7D9D"/>
    <w:rsid w:val="42993ED1"/>
    <w:rsid w:val="4BDE7FFB"/>
    <w:rsid w:val="60CB440F"/>
    <w:rsid w:val="669C35CE"/>
    <w:rsid w:val="6AC87CC0"/>
    <w:rsid w:val="71FE82F5"/>
    <w:rsid w:val="75D9533C"/>
    <w:rsid w:val="ABD7A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样式 正文文本缩进 + 左侧:  2 字符"/>
    <w:qFormat/>
    <w:uiPriority w:val="0"/>
    <w:pPr>
      <w:widowControl w:val="0"/>
      <w:suppressAutoHyphens/>
      <w:spacing w:line="360" w:lineRule="auto"/>
      <w:ind w:firstLine="200"/>
      <w:jc w:val="both"/>
    </w:pPr>
    <w:rPr>
      <w:rFonts w:ascii="宋体" w:hAnsi="宋体" w:eastAsia="宋体" w:cs="宋体"/>
      <w:kern w:val="1"/>
      <w:sz w:val="21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3287</Words>
  <Characters>3336</Characters>
  <Lines>0</Lines>
  <Paragraphs>0</Paragraphs>
  <TotalTime>1</TotalTime>
  <ScaleCrop>false</ScaleCrop>
  <LinksUpToDate>false</LinksUpToDate>
  <CharactersWithSpaces>3336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2026-09-23T18:52:00Z</dcterms:created>
  <dc:creator>孙朋</dc:creator>
  <cp:lastModifiedBy>DELL</cp:lastModifiedBy>
  <cp:lastPrinted>2026-09-29T03:21:00Z</cp:lastPrinted>
  <dcterms:modified xsi:type="dcterms:W3CDTF">2026-11-03T01:15:43Z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99F5975843C4491D917C64DE729CBE3D_13</vt:lpwstr>
  </property>
</Properties>
</file>