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DE87C">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0483689">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w:t>
      </w:r>
      <w:r>
        <w:rPr>
          <w:rFonts w:hint="eastAsia" w:ascii="Times New Roman" w:hAnsi="Times New Roman" w:eastAsia="方正小标宋简体" w:cs="方正小标宋简体"/>
          <w:sz w:val="36"/>
          <w:szCs w:val="36"/>
          <w:lang w:val="en-US" w:eastAsia="zh-CN"/>
        </w:rPr>
        <w:t>七</w:t>
      </w:r>
      <w:r>
        <w:rPr>
          <w:rFonts w:hint="eastAsia" w:ascii="Times New Roman" w:hAnsi="Times New Roman" w:eastAsia="方正小标宋简体" w:cs="方正小标宋简体"/>
          <w:sz w:val="36"/>
          <w:szCs w:val="36"/>
          <w:lang w:eastAsia="zh-CN"/>
        </w:rPr>
        <w:t>批</w:t>
      </w:r>
      <w:r>
        <w:rPr>
          <w:rFonts w:hint="eastAsia" w:ascii="Times New Roman" w:hAnsi="Times New Roman" w:eastAsia="方正小标宋简体" w:cs="方正小标宋简体"/>
          <w:sz w:val="36"/>
          <w:szCs w:val="36"/>
        </w:rPr>
        <w:t>专精特新“小巨人”企业推荐汇总表</w:t>
      </w:r>
    </w:p>
    <w:p w14:paraId="5A4C1F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14:paraId="1FDA674F">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市</w:t>
      </w:r>
      <w:r>
        <w:rPr>
          <w:rFonts w:hint="eastAsia" w:ascii="Times New Roman" w:hAnsi="Times New Roman" w:eastAsia="黑体" w:cs="黑体"/>
          <w:sz w:val="32"/>
          <w:szCs w:val="32"/>
          <w:lang w:eastAsia="zh-CN"/>
        </w:rPr>
        <w:t>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14:paraId="6074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14:paraId="0EDCADC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14:paraId="6EB828F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14:paraId="6CB73B4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29BF14D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14:paraId="02CE857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14:paraId="0A3B857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14:paraId="35F1E4D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14:paraId="3A8AAE1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14:paraId="0FB8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0537A398">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14:paraId="1392829A">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7DF65693">
            <w:pPr>
              <w:jc w:val="center"/>
              <w:rPr>
                <w:rFonts w:hint="default" w:ascii="Times New Roman" w:hAnsi="Times New Roman" w:eastAsia="仿宋_GB2312" w:cs="Times New Roman"/>
                <w:sz w:val="28"/>
                <w:szCs w:val="28"/>
                <w:vertAlign w:val="baseline"/>
              </w:rPr>
            </w:pPr>
          </w:p>
        </w:tc>
        <w:tc>
          <w:tcPr>
            <w:tcW w:w="994" w:type="dxa"/>
            <w:noWrap w:val="0"/>
            <w:vAlign w:val="center"/>
          </w:tcPr>
          <w:p w14:paraId="23A53EFE">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6B0250D8">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5E0E903C">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7D1288AE">
            <w:pPr>
              <w:jc w:val="center"/>
              <w:rPr>
                <w:rFonts w:hint="default" w:ascii="Times New Roman" w:hAnsi="Times New Roman" w:eastAsia="仿宋_GB2312" w:cs="Times New Roman"/>
                <w:sz w:val="28"/>
                <w:szCs w:val="28"/>
                <w:vertAlign w:val="baseline"/>
              </w:rPr>
            </w:pPr>
          </w:p>
        </w:tc>
      </w:tr>
      <w:tr w14:paraId="15AF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51778106">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14:paraId="3F4E9B84">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46038E77">
            <w:pPr>
              <w:jc w:val="center"/>
              <w:rPr>
                <w:rFonts w:hint="default" w:ascii="Times New Roman" w:hAnsi="Times New Roman" w:eastAsia="仿宋_GB2312" w:cs="Times New Roman"/>
                <w:sz w:val="28"/>
                <w:szCs w:val="28"/>
                <w:vertAlign w:val="baseline"/>
              </w:rPr>
            </w:pPr>
          </w:p>
        </w:tc>
        <w:tc>
          <w:tcPr>
            <w:tcW w:w="994" w:type="dxa"/>
            <w:noWrap w:val="0"/>
            <w:vAlign w:val="center"/>
          </w:tcPr>
          <w:p w14:paraId="5036A0F9">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41A647E0">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36472984">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48879303">
            <w:pPr>
              <w:jc w:val="center"/>
              <w:rPr>
                <w:rFonts w:hint="default" w:ascii="Times New Roman" w:hAnsi="Times New Roman" w:eastAsia="仿宋_GB2312" w:cs="Times New Roman"/>
                <w:sz w:val="28"/>
                <w:szCs w:val="28"/>
                <w:vertAlign w:val="baseline"/>
              </w:rPr>
            </w:pPr>
          </w:p>
        </w:tc>
      </w:tr>
      <w:tr w14:paraId="48E0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35BE57E2">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14:paraId="5C4EE863">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0D57FD23">
            <w:pPr>
              <w:jc w:val="center"/>
              <w:rPr>
                <w:rFonts w:hint="default" w:ascii="Times New Roman" w:hAnsi="Times New Roman" w:eastAsia="仿宋_GB2312" w:cs="Times New Roman"/>
                <w:sz w:val="28"/>
                <w:szCs w:val="28"/>
                <w:vertAlign w:val="baseline"/>
              </w:rPr>
            </w:pPr>
          </w:p>
        </w:tc>
        <w:tc>
          <w:tcPr>
            <w:tcW w:w="994" w:type="dxa"/>
            <w:noWrap w:val="0"/>
            <w:vAlign w:val="center"/>
          </w:tcPr>
          <w:p w14:paraId="5F62C39F">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7A187C67">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5DB28172">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544536E1">
            <w:pPr>
              <w:jc w:val="center"/>
              <w:rPr>
                <w:rFonts w:hint="default" w:ascii="Times New Roman" w:hAnsi="Times New Roman" w:eastAsia="仿宋_GB2312" w:cs="Times New Roman"/>
                <w:sz w:val="28"/>
                <w:szCs w:val="28"/>
                <w:vertAlign w:val="baseline"/>
              </w:rPr>
            </w:pPr>
          </w:p>
        </w:tc>
      </w:tr>
      <w:tr w14:paraId="3D16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68539AF2">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14:paraId="31A07A0B">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355E1B72">
            <w:pPr>
              <w:jc w:val="center"/>
              <w:rPr>
                <w:rFonts w:hint="default" w:ascii="Times New Roman" w:hAnsi="Times New Roman" w:eastAsia="仿宋_GB2312" w:cs="Times New Roman"/>
                <w:sz w:val="28"/>
                <w:szCs w:val="28"/>
                <w:vertAlign w:val="baseline"/>
              </w:rPr>
            </w:pPr>
          </w:p>
        </w:tc>
        <w:tc>
          <w:tcPr>
            <w:tcW w:w="994" w:type="dxa"/>
            <w:noWrap w:val="0"/>
            <w:vAlign w:val="center"/>
          </w:tcPr>
          <w:p w14:paraId="0A49AC75">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65DADA41">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10BAD698">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42F1C584">
            <w:pPr>
              <w:jc w:val="center"/>
              <w:rPr>
                <w:rFonts w:hint="default" w:ascii="Times New Roman" w:hAnsi="Times New Roman" w:eastAsia="仿宋_GB2312" w:cs="Times New Roman"/>
                <w:sz w:val="28"/>
                <w:szCs w:val="28"/>
                <w:vertAlign w:val="baseline"/>
              </w:rPr>
            </w:pPr>
          </w:p>
        </w:tc>
      </w:tr>
      <w:tr w14:paraId="3BD4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6D883E8F">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14:paraId="62CEAD6C">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7A46A44F">
            <w:pPr>
              <w:jc w:val="center"/>
              <w:rPr>
                <w:rFonts w:hint="default" w:ascii="Times New Roman" w:hAnsi="Times New Roman" w:eastAsia="仿宋_GB2312" w:cs="Times New Roman"/>
                <w:sz w:val="28"/>
                <w:szCs w:val="28"/>
                <w:vertAlign w:val="baseline"/>
              </w:rPr>
            </w:pPr>
          </w:p>
        </w:tc>
        <w:tc>
          <w:tcPr>
            <w:tcW w:w="994" w:type="dxa"/>
            <w:noWrap w:val="0"/>
            <w:vAlign w:val="center"/>
          </w:tcPr>
          <w:p w14:paraId="509C0B5C">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12054526">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2A017BB0">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442FB0B9">
            <w:pPr>
              <w:jc w:val="center"/>
              <w:rPr>
                <w:rFonts w:hint="default" w:ascii="Times New Roman" w:hAnsi="Times New Roman" w:eastAsia="仿宋_GB2312" w:cs="Times New Roman"/>
                <w:sz w:val="28"/>
                <w:szCs w:val="28"/>
                <w:vertAlign w:val="baseline"/>
              </w:rPr>
            </w:pPr>
          </w:p>
        </w:tc>
      </w:tr>
    </w:tbl>
    <w:p w14:paraId="1D71BAB5">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或“无”。“第一批、第四批专精特新‘小巨人’企业复核情况汇总表”中“控股情况”也按此填写。</w:t>
      </w:r>
    </w:p>
    <w:p w14:paraId="72500159">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号认定，填写“有申报”、“有认定”或“无”。“第一批、第四批专精特新‘小巨人’企业复核情况汇总表”中“同集团内企业情况”也按此填写。</w:t>
      </w:r>
    </w:p>
    <w:p w14:paraId="07B38BDA">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97F77E2"/>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81618E2"/>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AE2C51"/>
    <w:rsid w:val="5CF55643"/>
    <w:rsid w:val="5D92662B"/>
    <w:rsid w:val="5E62534B"/>
    <w:rsid w:val="5E9E2096"/>
    <w:rsid w:val="5FAD083D"/>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EBADD2F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332</Characters>
  <Lines>0</Lines>
  <Paragraphs>0</Paragraphs>
  <TotalTime>0</TotalTime>
  <ScaleCrop>false</ScaleCrop>
  <LinksUpToDate>false</LinksUpToDate>
  <CharactersWithSpaces>359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王烁</cp:lastModifiedBy>
  <cp:lastPrinted>2024-03-03T09:54:22Z</cp:lastPrinted>
  <dcterms:modified xsi:type="dcterms:W3CDTF">2025-02-25T07:25:51Z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eyJoZGlkIjoiOWEyNGE1ODBkMTFmMWNiZjQxODZkMDUxYTYwY2NiYjQiLCJ1c2VySWQiOiIxNjE4MDg4MjE0In0=</vt:lpwstr>
  </property>
  <property fmtid="{D5CDD505-2E9C-101B-9397-08002B2CF9AE}" pid="4" name="ICV">
    <vt:lpwstr>86566488B1B946D2BE353B0F2AE49A1D_13</vt:lpwstr>
  </property>
</Properties>
</file>