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246" w14:textId="77777777" w:rsidR="00CC7EEB" w:rsidRDefault="00CC7EEB" w:rsidP="00CC7EEB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14:paraId="388B4BFD" w14:textId="77777777" w:rsidR="008A042E" w:rsidRDefault="00CC7EEB" w:rsidP="00CC7EEB">
      <w:pPr>
        <w:pStyle w:val="a9"/>
        <w:rPr>
          <w:rFonts w:ascii="黑体" w:eastAsia="黑体" w:hAnsi="黑体"/>
          <w:sz w:val="36"/>
          <w:szCs w:val="36"/>
        </w:rPr>
      </w:pPr>
      <w:bookmarkStart w:id="0" w:name="_Hlk69717876"/>
      <w:bookmarkStart w:id="1" w:name="_Hlk54163838"/>
      <w:r w:rsidRPr="00F33D0D">
        <w:rPr>
          <w:rFonts w:ascii="黑体" w:eastAsia="黑体" w:hAnsi="黑体" w:hint="eastAsia"/>
          <w:sz w:val="36"/>
          <w:szCs w:val="36"/>
        </w:rPr>
        <w:t>山东省“技能兴鲁”职业技能大赛——</w:t>
      </w:r>
    </w:p>
    <w:p w14:paraId="1BA0674D" w14:textId="63B52CFA" w:rsidR="00CC7EEB" w:rsidRPr="00C75D9A" w:rsidRDefault="00CC7EEB" w:rsidP="00CC7EEB">
      <w:pPr>
        <w:pStyle w:val="a9"/>
        <w:rPr>
          <w:rFonts w:ascii="黑体" w:eastAsia="黑体" w:hAnsi="黑体"/>
          <w:sz w:val="36"/>
          <w:szCs w:val="36"/>
        </w:rPr>
      </w:pPr>
      <w:r w:rsidRPr="00C75D9A">
        <w:rPr>
          <w:rFonts w:ascii="黑体" w:eastAsia="黑体" w:hAnsi="黑体" w:hint="eastAsia"/>
          <w:sz w:val="36"/>
          <w:szCs w:val="36"/>
        </w:rPr>
        <w:t>第四届山东省移动互联网及5G应用创新技能大赛</w:t>
      </w:r>
      <w:r w:rsidRPr="00C75D9A">
        <w:rPr>
          <w:rFonts w:ascii="黑体" w:eastAsia="黑体" w:hAnsi="黑体"/>
          <w:sz w:val="36"/>
          <w:szCs w:val="36"/>
        </w:rPr>
        <w:br/>
      </w:r>
      <w:r w:rsidRPr="00EE7A47">
        <w:rPr>
          <w:rFonts w:ascii="黑体" w:eastAsia="黑体" w:hAnsi="黑体" w:hint="eastAsia"/>
          <w:sz w:val="36"/>
          <w:szCs w:val="36"/>
        </w:rPr>
        <w:t>网络与信息安全管理员</w:t>
      </w:r>
      <w:r w:rsidRPr="00C75D9A">
        <w:rPr>
          <w:rFonts w:ascii="黑体" w:eastAsia="黑体" w:hAnsi="黑体" w:hint="eastAsia"/>
          <w:sz w:val="36"/>
          <w:szCs w:val="36"/>
        </w:rPr>
        <w:t>赛项</w:t>
      </w:r>
    </w:p>
    <w:bookmarkEnd w:id="0"/>
    <w:bookmarkEnd w:id="1"/>
    <w:p w14:paraId="73A7AFCA" w14:textId="77777777" w:rsidR="00CC7EEB" w:rsidRPr="00C75D9A" w:rsidRDefault="00CC7EEB" w:rsidP="00CC7EEB">
      <w:pPr>
        <w:widowControl/>
        <w:tabs>
          <w:tab w:val="left" w:pos="3285"/>
        </w:tabs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C75D9A">
        <w:rPr>
          <w:rFonts w:ascii="黑体" w:eastAsia="黑体" w:hAnsi="黑体" w:cs="宋体" w:hint="eastAsia"/>
          <w:b/>
          <w:bCs/>
          <w:sz w:val="36"/>
          <w:szCs w:val="36"/>
        </w:rPr>
        <w:t>技术文件</w:t>
      </w:r>
    </w:p>
    <w:p w14:paraId="030FC8C7" w14:textId="77777777" w:rsidR="00CC7EEB" w:rsidRDefault="00CC7EEB" w:rsidP="00CC7EEB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14:paraId="0F963F74" w14:textId="77777777" w:rsidR="00CC7EEB" w:rsidRPr="00EE7A47" w:rsidRDefault="00CC7EEB" w:rsidP="00CC7EE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E7A47">
        <w:rPr>
          <w:rFonts w:ascii="仿宋" w:eastAsia="仿宋" w:hAnsi="仿宋" w:hint="eastAsia"/>
          <w:sz w:val="28"/>
          <w:szCs w:val="28"/>
        </w:rPr>
        <w:t>为确保</w:t>
      </w:r>
      <w:r w:rsidRPr="00F33D0D">
        <w:rPr>
          <w:rFonts w:ascii="仿宋" w:eastAsia="仿宋" w:hAnsi="仿宋" w:hint="eastAsia"/>
          <w:sz w:val="28"/>
          <w:szCs w:val="28"/>
        </w:rPr>
        <w:t>山东省“技能兴鲁”职业技能大赛——</w:t>
      </w:r>
      <w:r w:rsidRPr="00EE7A47">
        <w:rPr>
          <w:rFonts w:ascii="仿宋" w:eastAsia="仿宋" w:hAnsi="仿宋" w:hint="eastAsia"/>
          <w:sz w:val="28"/>
          <w:szCs w:val="28"/>
        </w:rPr>
        <w:t>第四届山东省移动互联网及5G应用创新技能大赛——网络与信息安全管理员赛项的活动能够顺利实施，特制订如下技术文件。</w:t>
      </w:r>
    </w:p>
    <w:p w14:paraId="120D11B9" w14:textId="77777777" w:rsidR="00CC7EEB" w:rsidRPr="00EE7A47" w:rsidRDefault="00CC7EEB" w:rsidP="00CC7EEB">
      <w:pPr>
        <w:spacing w:line="560" w:lineRule="exact"/>
        <w:rPr>
          <w:rFonts w:ascii="黑体" w:eastAsia="黑体" w:hAnsi="黑体"/>
          <w:b/>
          <w:bCs/>
          <w:sz w:val="28"/>
          <w:szCs w:val="28"/>
        </w:rPr>
      </w:pPr>
      <w:r w:rsidRPr="00EE7A47">
        <w:rPr>
          <w:rFonts w:ascii="黑体" w:eastAsia="黑体" w:hAnsi="黑体" w:hint="eastAsia"/>
          <w:b/>
          <w:bCs/>
          <w:sz w:val="28"/>
          <w:szCs w:val="28"/>
        </w:rPr>
        <w:t>一、竞赛项目</w:t>
      </w:r>
    </w:p>
    <w:p w14:paraId="1A6DA2C0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sz w:val="28"/>
        </w:rPr>
      </w:pPr>
      <w:r w:rsidRPr="00F33D0D">
        <w:rPr>
          <w:rFonts w:ascii="仿宋" w:eastAsia="仿宋" w:hAnsi="仿宋" w:cs="宋体" w:hint="eastAsia"/>
          <w:color w:val="000000"/>
          <w:sz w:val="28"/>
        </w:rPr>
        <w:t>山东省“技能兴鲁”职业技能大赛——</w:t>
      </w:r>
      <w:r w:rsidRPr="00EE7A47">
        <w:rPr>
          <w:rFonts w:ascii="仿宋" w:eastAsia="仿宋" w:hAnsi="仿宋" w:cs="宋体" w:hint="eastAsia"/>
          <w:color w:val="000000"/>
          <w:sz w:val="28"/>
        </w:rPr>
        <w:t>第四届山东省移动互联网及5G应用创新技能大赛——网络与信息安全管理员赛项</w:t>
      </w:r>
    </w:p>
    <w:p w14:paraId="7B097098" w14:textId="77777777" w:rsidR="00CC7EEB" w:rsidRPr="00EE7A47" w:rsidRDefault="00CC7EEB" w:rsidP="00CC7EEB">
      <w:pPr>
        <w:spacing w:line="560" w:lineRule="exact"/>
        <w:rPr>
          <w:rFonts w:ascii="黑体" w:eastAsia="黑体" w:hAnsi="黑体"/>
          <w:b/>
          <w:bCs/>
          <w:sz w:val="28"/>
          <w:szCs w:val="28"/>
        </w:rPr>
      </w:pPr>
      <w:r w:rsidRPr="00EE7A47">
        <w:rPr>
          <w:rFonts w:ascii="黑体" w:eastAsia="黑体" w:hAnsi="黑体" w:hint="eastAsia"/>
          <w:b/>
          <w:bCs/>
          <w:sz w:val="28"/>
          <w:szCs w:val="28"/>
        </w:rPr>
        <w:t>二、竞赛任务</w:t>
      </w:r>
    </w:p>
    <w:p w14:paraId="3431770C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cs="宋体"/>
          <w:sz w:val="28"/>
        </w:rPr>
      </w:pPr>
      <w:r w:rsidRPr="001369B6">
        <w:rPr>
          <w:rFonts w:ascii="仿宋" w:eastAsia="仿宋" w:hAnsi="仿宋" w:hint="eastAsia"/>
          <w:sz w:val="28"/>
          <w:szCs w:val="28"/>
        </w:rPr>
        <w:t>本赛项分为职工（教师）组和学生组两个组别。职工（教师）组为个人赛，学生组为团队赛。</w:t>
      </w:r>
      <w:r>
        <w:rPr>
          <w:rFonts w:ascii="仿宋" w:eastAsia="仿宋" w:hAnsi="仿宋" w:cs="宋体" w:hint="eastAsia"/>
          <w:sz w:val="28"/>
        </w:rPr>
        <w:t xml:space="preserve">学生组由2名学生、2名指导教师组成。 </w:t>
      </w:r>
      <w:r>
        <w:rPr>
          <w:rFonts w:ascii="仿宋" w:eastAsia="仿宋" w:hAnsi="仿宋" w:cs="宋体"/>
          <w:sz w:val="28"/>
        </w:rPr>
        <w:t xml:space="preserve">   </w:t>
      </w:r>
    </w:p>
    <w:p w14:paraId="68B0DCB3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2"/>
        </w:rPr>
      </w:pPr>
      <w:bookmarkStart w:id="2" w:name="_Hlk99011522"/>
      <w:r w:rsidRPr="00FD624B">
        <w:rPr>
          <w:rFonts w:ascii="仿宋" w:eastAsia="仿宋" w:hAnsi="仿宋" w:cs="宋体" w:hint="eastAsia"/>
          <w:sz w:val="28"/>
        </w:rPr>
        <w:t>职工（教师）组竞赛用时为</w:t>
      </w:r>
      <w:r>
        <w:rPr>
          <w:rFonts w:ascii="仿宋" w:eastAsia="仿宋" w:hAnsi="仿宋" w:cs="宋体"/>
          <w:sz w:val="28"/>
        </w:rPr>
        <w:t>3</w:t>
      </w:r>
      <w:r w:rsidRPr="00FD624B">
        <w:rPr>
          <w:rFonts w:ascii="仿宋" w:eastAsia="仿宋" w:hAnsi="仿宋" w:cs="宋体" w:hint="eastAsia"/>
          <w:sz w:val="28"/>
        </w:rPr>
        <w:t>个小时，学生组竞赛用时为6个小时。</w:t>
      </w:r>
    </w:p>
    <w:p w14:paraId="640FBAF5" w14:textId="77777777" w:rsidR="00CC7EEB" w:rsidRPr="00FD624B" w:rsidRDefault="00CC7EEB" w:rsidP="00CC7EEB">
      <w:pPr>
        <w:spacing w:line="560" w:lineRule="exact"/>
        <w:ind w:firstLineChars="200" w:firstLine="560"/>
        <w:rPr>
          <w:rFonts w:ascii="仿宋" w:eastAsia="仿宋" w:hAnsi="仿宋" w:cs="宋体" w:hint="eastAsia"/>
          <w:sz w:val="28"/>
          <w:szCs w:val="22"/>
        </w:rPr>
      </w:pPr>
      <w:bookmarkStart w:id="3" w:name="_Hlk99011531"/>
      <w:bookmarkEnd w:id="2"/>
      <w:r>
        <w:rPr>
          <w:rFonts w:ascii="仿宋" w:eastAsia="仿宋" w:hAnsi="仿宋" w:cs="宋体" w:hint="eastAsia"/>
          <w:sz w:val="28"/>
        </w:rPr>
        <w:t>学生组竞赛限定1天内进行，竞赛场次为1场，赛项竞赛时间为6小时。</w:t>
      </w: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4565"/>
        <w:gridCol w:w="1559"/>
        <w:gridCol w:w="1276"/>
      </w:tblGrid>
      <w:tr w:rsidR="00CC7EEB" w14:paraId="32C4DC34" w14:textId="77777777" w:rsidTr="00861060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p w14:paraId="4A84337A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模块编号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AD6E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内容模块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3432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竞赛时间</w:t>
            </w:r>
          </w:p>
          <w:p w14:paraId="3A3036D5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（小时）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6CF5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分值权重</w:t>
            </w:r>
          </w:p>
        </w:tc>
      </w:tr>
      <w:tr w:rsidR="00CC7EEB" w14:paraId="70AFCCCB" w14:textId="77777777" w:rsidTr="00861060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91A1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A模块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A60D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基础设施设置与安全加固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3563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9AF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  <w:tr w:rsidR="00CC7EEB" w14:paraId="70C33E18" w14:textId="77777777" w:rsidTr="00861060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6901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B模块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1C82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网络安全事件响应、数字取证调查和应用安全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9C90" w14:textId="77777777" w:rsidR="00CC7EEB" w:rsidRDefault="00CC7EEB" w:rsidP="00861060">
            <w:pPr>
              <w:widowControl/>
              <w:jc w:val="left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2B62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40%</w:t>
            </w:r>
          </w:p>
        </w:tc>
      </w:tr>
      <w:tr w:rsidR="00CC7EEB" w14:paraId="7D67557B" w14:textId="77777777" w:rsidTr="00861060">
        <w:trPr>
          <w:trHeight w:val="45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035A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休息时间（午餐）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512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B847" w14:textId="77777777" w:rsidR="00CC7EEB" w:rsidRDefault="00CC7EEB" w:rsidP="00861060">
            <w:pPr>
              <w:rPr>
                <w:rFonts w:ascii="仿宋" w:eastAsia="仿宋" w:hAnsi="仿宋" w:cs="宋体" w:hint="eastAsia"/>
              </w:rPr>
            </w:pPr>
          </w:p>
        </w:tc>
      </w:tr>
      <w:tr w:rsidR="00CC7EEB" w14:paraId="20609557" w14:textId="77777777" w:rsidTr="00861060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39C9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Cs w:val="22"/>
              </w:rPr>
            </w:pPr>
            <w:r>
              <w:rPr>
                <w:rFonts w:ascii="仿宋" w:eastAsia="仿宋" w:hAnsi="仿宋" w:cs="宋体" w:hint="eastAsia"/>
              </w:rPr>
              <w:t>C模块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8F4A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CTF 夺旗-攻击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75D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C59B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  <w:tr w:rsidR="00CC7EEB" w14:paraId="09A79BEE" w14:textId="77777777" w:rsidTr="00861060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EFC4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lastRenderedPageBreak/>
              <w:t>D模块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FEC8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CTF 夺旗-防御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0A8F" w14:textId="77777777" w:rsidR="00CC7EEB" w:rsidRDefault="00CC7EEB" w:rsidP="00861060">
            <w:pPr>
              <w:widowControl/>
              <w:jc w:val="left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E9DD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</w:tbl>
    <w:p w14:paraId="7E15A85D" w14:textId="77777777" w:rsidR="00CC7EEB" w:rsidRPr="00FD624B" w:rsidRDefault="00CC7EEB" w:rsidP="00CC7EEB">
      <w:pPr>
        <w:rPr>
          <w:rFonts w:ascii="等线" w:eastAsia="等线" w:hAnsi="等线" w:hint="eastAsia"/>
          <w:szCs w:val="22"/>
        </w:rPr>
      </w:pPr>
    </w:p>
    <w:p w14:paraId="1FE8ECC0" w14:textId="77777777" w:rsidR="00CC7EEB" w:rsidRDefault="00CC7EEB" w:rsidP="00CC7EEB">
      <w:pPr>
        <w:spacing w:line="559" w:lineRule="auto"/>
        <w:ind w:firstLineChars="200" w:firstLine="560"/>
        <w:rPr>
          <w:rFonts w:ascii="仿宋" w:eastAsia="仿宋" w:hAnsi="仿宋" w:cs="宋体" w:hint="eastAsia"/>
          <w:sz w:val="28"/>
        </w:rPr>
      </w:pPr>
      <w:r>
        <w:rPr>
          <w:rFonts w:ascii="仿宋" w:eastAsia="仿宋" w:hAnsi="仿宋" w:cs="宋体" w:hint="eastAsia"/>
          <w:sz w:val="28"/>
        </w:rPr>
        <w:t>职工（教师）组竞赛限定1天内进行，竞赛场次为1场，赛项竞赛时间为3小时。</w:t>
      </w: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4565"/>
        <w:gridCol w:w="1559"/>
        <w:gridCol w:w="1276"/>
      </w:tblGrid>
      <w:tr w:rsidR="00CC7EEB" w14:paraId="2FBF7BB1" w14:textId="77777777" w:rsidTr="00861060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4A0E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模块编号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DFCA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内容模块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705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竞赛时间</w:t>
            </w:r>
          </w:p>
          <w:p w14:paraId="407BAE1A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（小时）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F9A1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分值权重</w:t>
            </w:r>
          </w:p>
        </w:tc>
      </w:tr>
      <w:tr w:rsidR="00CC7EEB" w14:paraId="505BB534" w14:textId="77777777" w:rsidTr="00861060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05D9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A模块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39C9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基础设施设置与安全加固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B9B3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CE3C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  <w:tr w:rsidR="00CC7EEB" w14:paraId="0DE1CE76" w14:textId="77777777" w:rsidTr="00861060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6AD3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B模块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FFCF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网络安全事件响应、数字取证调查和应用安全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9C44" w14:textId="77777777" w:rsidR="00CC7EEB" w:rsidRDefault="00CC7EEB" w:rsidP="00861060">
            <w:pPr>
              <w:widowControl/>
              <w:jc w:val="left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9E0B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40%</w:t>
            </w:r>
          </w:p>
        </w:tc>
      </w:tr>
      <w:tr w:rsidR="00CC7EEB" w14:paraId="7AF39147" w14:textId="77777777" w:rsidTr="00861060">
        <w:trPr>
          <w:trHeight w:val="45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3CC4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休息时间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F203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2985" w14:textId="77777777" w:rsidR="00CC7EEB" w:rsidRDefault="00CC7EEB" w:rsidP="00861060">
            <w:pPr>
              <w:rPr>
                <w:rFonts w:ascii="仿宋" w:eastAsia="仿宋" w:hAnsi="仿宋" w:cs="宋体" w:hint="eastAsia"/>
              </w:rPr>
            </w:pPr>
          </w:p>
        </w:tc>
      </w:tr>
      <w:tr w:rsidR="00CC7EEB" w14:paraId="3D927F9A" w14:textId="77777777" w:rsidTr="00861060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94F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Cs w:val="22"/>
              </w:rPr>
            </w:pPr>
            <w:r>
              <w:rPr>
                <w:rFonts w:ascii="仿宋" w:eastAsia="仿宋" w:hAnsi="仿宋" w:cs="宋体" w:hint="eastAsia"/>
              </w:rPr>
              <w:t>C模块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2A1C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CTF 夺旗-攻击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11C4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82BE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  <w:tr w:rsidR="00CC7EEB" w14:paraId="49FC6729" w14:textId="77777777" w:rsidTr="00861060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02D9" w14:textId="77777777" w:rsidR="00CC7EEB" w:rsidRDefault="00CC7EEB" w:rsidP="00861060">
            <w:pPr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D模块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18C0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CTF 夺旗-防御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3007" w14:textId="77777777" w:rsidR="00CC7EEB" w:rsidRDefault="00CC7EEB" w:rsidP="00861060">
            <w:pPr>
              <w:widowControl/>
              <w:jc w:val="left"/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51D1" w14:textId="77777777" w:rsidR="00CC7EEB" w:rsidRDefault="00CC7EEB" w:rsidP="00861060">
            <w:pPr>
              <w:jc w:val="center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20%</w:t>
            </w:r>
          </w:p>
        </w:tc>
      </w:tr>
    </w:tbl>
    <w:p w14:paraId="730E7E7C" w14:textId="77777777" w:rsidR="00CC7EEB" w:rsidRPr="00FD624B" w:rsidRDefault="00CC7EEB" w:rsidP="00CC7EEB">
      <w:pPr>
        <w:rPr>
          <w:rFonts w:ascii="等线" w:eastAsia="等线" w:hAnsi="等线" w:hint="eastAsia"/>
          <w:szCs w:val="22"/>
        </w:rPr>
      </w:pPr>
    </w:p>
    <w:p w14:paraId="0E175F26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竞赛分为A,B,C,D四个模块，</w:t>
      </w:r>
      <w:r>
        <w:rPr>
          <w:rFonts w:ascii="仿宋_GB2312" w:eastAsia="仿宋_GB2312" w:hAnsi="黑体" w:hint="eastAsia"/>
          <w:sz w:val="28"/>
          <w:szCs w:val="28"/>
        </w:rPr>
        <w:t>总分满分为1000分，裁判组负责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竞赛机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考评分和结果性评分，由裁判长负责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竞赛全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过程。竞赛</w:t>
      </w:r>
      <w:r>
        <w:rPr>
          <w:rFonts w:ascii="仿宋" w:eastAsia="仿宋" w:hAnsi="仿宋" w:hint="eastAsia"/>
          <w:sz w:val="28"/>
          <w:szCs w:val="28"/>
        </w:rPr>
        <w:t>共计6小时。其中模块A成绩占总成绩的20%，模块B成绩占总成绩的40%，模块C成绩占总成绩的20%，模块D成绩占总成绩的20%。</w:t>
      </w:r>
    </w:p>
    <w:p w14:paraId="31A9F146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bookmarkStart w:id="4" w:name="_Toc81849150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(</w:t>
      </w:r>
      <w:proofErr w:type="gramStart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)模块A 基础设施设置与安全加固</w:t>
      </w:r>
      <w:bookmarkEnd w:id="4"/>
    </w:p>
    <w:p w14:paraId="5F99D44F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黑体" w:hint="eastAsia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此模块通过综合运用登录和密码策略、数据库安全策略、流量完整性保护策略、事件监控策略、防火墙策略等多种安全策略来提升服务器系统的网络安全防御能力。本模块要求对具体任务的操作截图并加以相应的文字说明,并以word文档的形式书写,以PDF格式保存,并以赛位号作为文件名.</w:t>
      </w:r>
    </w:p>
    <w:p w14:paraId="2B72B849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bookmarkStart w:id="5" w:name="_Toc81849151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(二)模块B 网络安全事件、数字取证调查和应用安全</w:t>
      </w:r>
      <w:bookmarkEnd w:id="5"/>
    </w:p>
    <w:p w14:paraId="6B149D56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此模块重点考查选手</w:t>
      </w:r>
      <w:r>
        <w:rPr>
          <w:rFonts w:ascii="仿宋" w:eastAsia="仿宋" w:hAnsi="仿宋" w:cs="宋体"/>
          <w:sz w:val="28"/>
        </w:rPr>
        <w:t>帮助企业进行调查并追踪本次网络攻击的源头，分析黑客的攻击方式，发现系统漏洞，提交网络安全事件响应报告，修复系统漏洞，删除黑客在系统中创建的后门，并帮助系统恢</w:t>
      </w:r>
      <w:r>
        <w:rPr>
          <w:rFonts w:ascii="仿宋" w:eastAsia="仿宋" w:hAnsi="仿宋" w:cs="宋体"/>
          <w:sz w:val="28"/>
        </w:rPr>
        <w:lastRenderedPageBreak/>
        <w:t>复正常运行。</w:t>
      </w:r>
    </w:p>
    <w:p w14:paraId="10E4DDC3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bookmarkStart w:id="6" w:name="_Toc81849152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(三)模块C  CTF夺旗-攻击</w:t>
      </w:r>
      <w:bookmarkEnd w:id="6"/>
    </w:p>
    <w:p w14:paraId="371C3C82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cs="宋体"/>
          <w:sz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此模块重点考查选手针对</w:t>
      </w:r>
      <w:r>
        <w:rPr>
          <w:rFonts w:ascii="仿宋" w:eastAsia="仿宋" w:hAnsi="仿宋" w:cs="宋体"/>
          <w:sz w:val="28"/>
        </w:rPr>
        <w:t>企业网络中可能存在的各种问题和漏洞。尝试利用各种攻击手段，攻击特定靶机，以便了解最新的攻击手段和技术，了解网络黑客的心态，从而改善防御策略。</w:t>
      </w:r>
    </w:p>
    <w:p w14:paraId="514A29AE" w14:textId="77777777" w:rsidR="00CC7EEB" w:rsidRDefault="00CC7EEB" w:rsidP="00CC7EEB">
      <w:pPr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bookmarkStart w:id="7" w:name="_Toc81849153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(四)模块D  CTF夺旗-防御</w:t>
      </w:r>
      <w:bookmarkEnd w:id="7"/>
    </w:p>
    <w:p w14:paraId="252DEBFA" w14:textId="77777777" w:rsidR="00CC7EEB" w:rsidRDefault="00CC7EEB" w:rsidP="00CC7EEB">
      <w:pPr>
        <w:spacing w:line="560" w:lineRule="exact"/>
        <w:ind w:firstLineChars="200" w:firstLine="560"/>
        <w:rPr>
          <w:rFonts w:ascii="仿宋" w:eastAsia="仿宋" w:hAnsi="仿宋" w:cs="宋体"/>
          <w:sz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此模块重点考查处理</w:t>
      </w:r>
      <w:r>
        <w:rPr>
          <w:rFonts w:ascii="仿宋" w:eastAsia="仿宋" w:hAnsi="仿宋" w:cs="宋体"/>
          <w:sz w:val="28"/>
        </w:rPr>
        <w:t>可能存在着各种问题和漏洞。</w:t>
      </w:r>
      <w:r>
        <w:rPr>
          <w:rFonts w:ascii="仿宋" w:eastAsia="仿宋" w:hAnsi="仿宋" w:cs="宋体" w:hint="eastAsia"/>
          <w:sz w:val="28"/>
        </w:rPr>
        <w:t>如何去</w:t>
      </w:r>
      <w:r>
        <w:rPr>
          <w:rFonts w:ascii="仿宋" w:eastAsia="仿宋" w:hAnsi="仿宋" w:cs="宋体"/>
          <w:sz w:val="28"/>
        </w:rPr>
        <w:t>尽快对这些服务器进行渗透测试与安全防护。每个参赛队拥有专属的</w:t>
      </w:r>
      <w:proofErr w:type="gramStart"/>
      <w:r>
        <w:rPr>
          <w:rFonts w:ascii="仿宋" w:eastAsia="仿宋" w:hAnsi="仿宋" w:cs="宋体"/>
          <w:sz w:val="28"/>
        </w:rPr>
        <w:t>堡垒机</w:t>
      </w:r>
      <w:proofErr w:type="gramEnd"/>
      <w:r>
        <w:rPr>
          <w:rFonts w:ascii="仿宋" w:eastAsia="仿宋" w:hAnsi="仿宋" w:cs="宋体"/>
          <w:sz w:val="28"/>
        </w:rPr>
        <w:t>服务器，其他队不能访问。参赛选手通过扫描、渗透测试等手段检测自己堡垒服务器中存在的安全缺陷，进行针对性加固，从而提升系统的安全防御性能。</w:t>
      </w:r>
    </w:p>
    <w:p w14:paraId="6DC2A1A5" w14:textId="77777777" w:rsidR="00CC7EEB" w:rsidRPr="00EE7A47" w:rsidRDefault="00CC7EEB" w:rsidP="00CC7EEB">
      <w:pPr>
        <w:spacing w:line="560" w:lineRule="exact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 xml:space="preserve">   </w:t>
      </w:r>
      <w:r w:rsidRPr="00EE7A47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三、技术平台</w:t>
      </w:r>
    </w:p>
    <w:p w14:paraId="5EC03040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_GB2312" w:eastAsia="仿宋_GB2312" w:hAnsi="仿宋" w:cs="宋体" w:hint="eastAsia"/>
          <w:b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sz w:val="28"/>
        </w:rPr>
        <w:t>（一）比赛器材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814"/>
        <w:gridCol w:w="856"/>
        <w:gridCol w:w="4814"/>
      </w:tblGrid>
      <w:tr w:rsidR="00CC7EEB" w14:paraId="1FD4FA3D" w14:textId="77777777" w:rsidTr="00861060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7E417" w14:textId="77777777" w:rsidR="00CC7EEB" w:rsidRDefault="00CC7EEB" w:rsidP="00861060">
            <w:pPr>
              <w:spacing w:line="560" w:lineRule="auto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</w:rPr>
              <w:t>序号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5FBDA" w14:textId="77777777" w:rsidR="00CC7EEB" w:rsidRDefault="00CC7EEB" w:rsidP="00861060">
            <w:pPr>
              <w:spacing w:line="560" w:lineRule="auto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</w:rPr>
              <w:t>设备名称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BCE8F" w14:textId="77777777" w:rsidR="00CC7EEB" w:rsidRDefault="00CC7EEB" w:rsidP="00861060">
            <w:pPr>
              <w:spacing w:line="560" w:lineRule="auto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</w:rPr>
              <w:t>数量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02129" w14:textId="77777777" w:rsidR="00CC7EEB" w:rsidRDefault="00CC7EEB" w:rsidP="00861060">
            <w:pPr>
              <w:spacing w:line="560" w:lineRule="auto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</w:rPr>
              <w:t>设备要求</w:t>
            </w:r>
          </w:p>
        </w:tc>
      </w:tr>
      <w:tr w:rsidR="00CC7EEB" w14:paraId="4F355A84" w14:textId="77777777" w:rsidTr="00861060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0AF8E" w14:textId="77777777" w:rsidR="00CC7EEB" w:rsidRDefault="00CC7EEB" w:rsidP="00861060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BB9AB" w14:textId="77777777" w:rsidR="00CC7EEB" w:rsidRDefault="00CC7EEB" w:rsidP="00861060">
            <w:pPr>
              <w:spacing w:line="360" w:lineRule="auto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网络安全竞赛平台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EC237" w14:textId="77777777" w:rsidR="00CC7EEB" w:rsidRDefault="00CC7EEB" w:rsidP="00861060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DA3CD" w14:textId="77777777" w:rsidR="00CC7EEB" w:rsidRDefault="00CC7EEB" w:rsidP="00861060">
            <w:pPr>
              <w:spacing w:line="360" w:lineRule="auto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1. 能完成基础设施设置、安全加固、安全事件响应、网络安全数据取证、应用安全、CTF夺旗攻击、 CTF夺旗防御等知识、技能内容竞赛环境实现，能有效支持300人规模，具备基于本规程竞赛内容同一场景集中答题环境。</w:t>
            </w:r>
          </w:p>
          <w:p w14:paraId="6C31D7EC" w14:textId="77777777" w:rsidR="00CC7EEB" w:rsidRDefault="00CC7EEB" w:rsidP="00861060">
            <w:pPr>
              <w:spacing w:line="360" w:lineRule="auto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2. </w:t>
            </w:r>
            <w:proofErr w:type="gramStart"/>
            <w:r>
              <w:rPr>
                <w:rFonts w:ascii="仿宋" w:eastAsia="仿宋" w:hAnsi="仿宋" w:cs="宋体"/>
                <w:szCs w:val="21"/>
              </w:rPr>
              <w:t>标配2个</w:t>
            </w:r>
            <w:proofErr w:type="gramEnd"/>
            <w:r>
              <w:rPr>
                <w:rFonts w:ascii="仿宋" w:eastAsia="仿宋" w:hAnsi="仿宋" w:cs="宋体"/>
                <w:szCs w:val="21"/>
              </w:rPr>
              <w:t>千兆以太口，Intel处理器，大于等于16G 内存，SSD +SATA硬盘。可扩展多种虚拟化平台，支持集群管理，同步采用增量备份的方式，虚拟化管理采用标准</w:t>
            </w:r>
            <w:proofErr w:type="spellStart"/>
            <w:r>
              <w:rPr>
                <w:rFonts w:ascii="仿宋" w:eastAsia="仿宋" w:hAnsi="仿宋" w:cs="宋体"/>
                <w:szCs w:val="21"/>
              </w:rPr>
              <w:t>libvirt</w:t>
            </w:r>
            <w:proofErr w:type="spellEnd"/>
            <w:r>
              <w:rPr>
                <w:rFonts w:ascii="仿宋" w:eastAsia="仿宋" w:hAnsi="仿宋" w:cs="宋体"/>
                <w:szCs w:val="21"/>
              </w:rPr>
              <w:t>接口；支持多用户并发在线竞赛，根据不同的实战任务下发进行自动调度靶机虚拟化模板，全程无需手工配置地址，VLAN与IP可根据竞赛要求自行设定；提供</w:t>
            </w:r>
            <w:r>
              <w:rPr>
                <w:rFonts w:ascii="仿宋" w:eastAsia="仿宋" w:hAnsi="仿宋" w:cs="宋体"/>
                <w:szCs w:val="21"/>
              </w:rPr>
              <w:lastRenderedPageBreak/>
              <w:t>单兵闯关、分组混战等实际对战模式，阶段间无需人工切换，系统自动处理；提供超过20种不同级别70个的攻防场景；模块B、C全过程自动评判，支持竞赛过程图像元素上传，排名判定策略大于等于12种；自定义动画态势展示，成绩详细分析；支持监控异常虚拟机，同时检测FTP、HTTP、ICMP、SMTP、SSH、TCP和UDP协议，服务端口支持在有效范围内的服务端口；支持全程加密，支持加密文件导入，加密方式为非对称加密，设备能随机生成密码。</w:t>
            </w:r>
          </w:p>
        </w:tc>
      </w:tr>
      <w:tr w:rsidR="00CC7EEB" w14:paraId="4E3FE68C" w14:textId="77777777" w:rsidTr="00861060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E5571" w14:textId="77777777" w:rsidR="00CC7EEB" w:rsidRDefault="00CC7EEB" w:rsidP="00861060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lastRenderedPageBreak/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0A194" w14:textId="77777777" w:rsidR="00CC7EEB" w:rsidRDefault="00CC7EEB" w:rsidP="00861060">
            <w:pPr>
              <w:spacing w:line="360" w:lineRule="auto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PC机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C34FDB" w14:textId="77777777" w:rsidR="00CC7EEB" w:rsidRDefault="00CC7EEB" w:rsidP="00861060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5B06" w14:textId="77777777" w:rsidR="00CC7EEB" w:rsidRDefault="00CC7EEB" w:rsidP="00861060">
            <w:pPr>
              <w:spacing w:line="360" w:lineRule="auto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CPU 主频&gt;=2.8GHZ,&gt;=</w:t>
            </w:r>
            <w:proofErr w:type="gramStart"/>
            <w:r>
              <w:rPr>
                <w:rFonts w:ascii="仿宋" w:eastAsia="仿宋" w:hAnsi="仿宋" w:cs="宋体"/>
                <w:szCs w:val="21"/>
              </w:rPr>
              <w:t>四核四</w:t>
            </w:r>
            <w:proofErr w:type="gramEnd"/>
            <w:r>
              <w:rPr>
                <w:rFonts w:ascii="仿宋" w:eastAsia="仿宋" w:hAnsi="仿宋" w:cs="宋体"/>
                <w:szCs w:val="21"/>
              </w:rPr>
              <w:t>线程；内存&gt;=8G；硬盘&gt;=500G；支持硬件虚拟化。</w:t>
            </w:r>
          </w:p>
        </w:tc>
      </w:tr>
    </w:tbl>
    <w:p w14:paraId="047C5BE2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（二）软件技术平台：</w:t>
      </w:r>
    </w:p>
    <w:p w14:paraId="31DDAA78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竞赛的应用系统环境主要以Windows和Linux系统为主，涉及如下版本：</w:t>
      </w:r>
    </w:p>
    <w:p w14:paraId="1FE18E5E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1．</w:t>
      </w:r>
      <w:proofErr w:type="gramStart"/>
      <w:r>
        <w:rPr>
          <w:rFonts w:ascii="仿宋" w:eastAsia="仿宋" w:hAnsi="仿宋" w:cs="宋体"/>
          <w:sz w:val="28"/>
        </w:rPr>
        <w:t>物理机</w:t>
      </w:r>
      <w:proofErr w:type="gramEnd"/>
      <w:r>
        <w:rPr>
          <w:rFonts w:ascii="仿宋" w:eastAsia="仿宋" w:hAnsi="仿宋" w:cs="宋体"/>
          <w:sz w:val="28"/>
        </w:rPr>
        <w:t>安装操作系统：微软 Windows 7(64位)中文试用版或微软 Windows 10(64位)中文试用版。</w:t>
      </w:r>
    </w:p>
    <w:p w14:paraId="2B1F7EA5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2．虚拟机安装操作系统：</w:t>
      </w:r>
    </w:p>
    <w:p w14:paraId="724A5941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Windows系统（试用版）：Windows XP、Windows 7、Windows 10、Windows Server2003及以上版本（根据命题实际确定）。</w:t>
      </w:r>
    </w:p>
    <w:p w14:paraId="294F003C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Linux系统：Ubuntu、Debian、CentOS（具体版本根据命题实际确定）。</w:t>
      </w:r>
    </w:p>
    <w:p w14:paraId="56C8CDBF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 xml:space="preserve">3.其他主要应用软件为（实际竞赛环境可能不仅限于以下软件）: </w:t>
      </w:r>
    </w:p>
    <w:p w14:paraId="7089EAF4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VMware workstation 12 pro 及以上版本免费版</w:t>
      </w:r>
    </w:p>
    <w:p w14:paraId="76079949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lastRenderedPageBreak/>
        <w:t>Putty 0.67及以上版本</w:t>
      </w:r>
    </w:p>
    <w:p w14:paraId="1C906F19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Python 3及以上版本</w:t>
      </w:r>
    </w:p>
    <w:p w14:paraId="6C02C302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/>
          <w:sz w:val="28"/>
        </w:rPr>
        <w:t>Chrome 浏览器 62.0及以上版本</w:t>
      </w:r>
    </w:p>
    <w:p w14:paraId="41001505" w14:textId="77777777" w:rsidR="00CC7EEB" w:rsidRDefault="00CC7EEB" w:rsidP="00CC7EEB">
      <w:pPr>
        <w:spacing w:line="560" w:lineRule="auto"/>
        <w:ind w:firstLine="560"/>
        <w:rPr>
          <w:rFonts w:ascii="仿宋" w:eastAsia="仿宋" w:hAnsi="仿宋" w:cs="宋体"/>
          <w:sz w:val="28"/>
        </w:rPr>
      </w:pPr>
      <w:proofErr w:type="spellStart"/>
      <w:r>
        <w:rPr>
          <w:rFonts w:ascii="仿宋" w:eastAsia="仿宋" w:hAnsi="仿宋" w:cs="宋体"/>
          <w:sz w:val="28"/>
        </w:rPr>
        <w:t>RealVNC</w:t>
      </w:r>
      <w:proofErr w:type="spellEnd"/>
      <w:r>
        <w:rPr>
          <w:rFonts w:ascii="仿宋" w:eastAsia="仿宋" w:hAnsi="仿宋" w:cs="宋体"/>
          <w:sz w:val="28"/>
        </w:rPr>
        <w:t xml:space="preserve"> 客户端 4.6及以上版本</w:t>
      </w:r>
    </w:p>
    <w:p w14:paraId="3B332CDF" w14:textId="77777777" w:rsidR="00CC7EEB" w:rsidRPr="00EE7A47" w:rsidRDefault="00CC7EEB" w:rsidP="00CC7EEB">
      <w:pPr>
        <w:spacing w:beforeLines="50" w:before="156" w:line="560" w:lineRule="exact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EE7A47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四、成绩评定</w:t>
      </w:r>
    </w:p>
    <w:p w14:paraId="354D2880" w14:textId="77777777" w:rsidR="00CC7EEB" w:rsidRDefault="00CC7EEB" w:rsidP="00CC7EEB">
      <w:pPr>
        <w:adjustRightInd w:val="0"/>
        <w:snapToGrid w:val="0"/>
        <w:spacing w:line="360" w:lineRule="auto"/>
        <w:ind w:firstLineChars="202" w:firstLine="566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（一）裁判工作原则</w:t>
      </w:r>
    </w:p>
    <w:p w14:paraId="6C1786E5" w14:textId="77777777" w:rsidR="00CC7EEB" w:rsidRDefault="00CC7EEB" w:rsidP="00CC7EEB">
      <w:pPr>
        <w:pStyle w:val="a7"/>
        <w:adjustRightInd w:val="0"/>
        <w:snapToGrid w:val="0"/>
        <w:spacing w:before="0" w:after="0" w:line="360" w:lineRule="auto"/>
        <w:ind w:firstLineChars="200" w:firstLine="560"/>
        <w:jc w:val="both"/>
        <w:outlineLvl w:val="9"/>
        <w:rPr>
          <w:rFonts w:ascii="仿宋" w:eastAsia="仿宋" w:hAnsi="仿宋" w:cs="仿宋_GB2312"/>
          <w:b w:val="0"/>
          <w:sz w:val="28"/>
          <w:szCs w:val="28"/>
        </w:rPr>
      </w:pPr>
      <w:r>
        <w:rPr>
          <w:rFonts w:ascii="仿宋" w:eastAsia="仿宋" w:hAnsi="仿宋" w:cs="仿宋_GB2312" w:hint="eastAsia"/>
          <w:b w:val="0"/>
          <w:sz w:val="28"/>
          <w:szCs w:val="28"/>
        </w:rPr>
        <w:t>裁判长由赛项执委会推荐，赛前建立健全裁判组。裁判组为裁判长负责制，并设有专职督导人员1-2名，负责比赛过程全程监督，防止营私舞弊。</w:t>
      </w:r>
    </w:p>
    <w:p w14:paraId="5D9EFB92" w14:textId="77777777" w:rsidR="00CC7EEB" w:rsidRDefault="00CC7EEB" w:rsidP="00CC7EEB">
      <w:pPr>
        <w:pStyle w:val="a7"/>
        <w:adjustRightInd w:val="0"/>
        <w:snapToGrid w:val="0"/>
        <w:spacing w:before="0" w:after="0" w:line="360" w:lineRule="auto"/>
        <w:ind w:firstLineChars="200" w:firstLine="560"/>
        <w:jc w:val="both"/>
        <w:outlineLvl w:val="9"/>
        <w:rPr>
          <w:rFonts w:ascii="仿宋" w:eastAsia="仿宋" w:hAnsi="仿宋" w:cs="仿宋_GB2312"/>
          <w:b w:val="0"/>
          <w:sz w:val="28"/>
          <w:szCs w:val="28"/>
        </w:rPr>
      </w:pPr>
      <w:r>
        <w:rPr>
          <w:rFonts w:ascii="仿宋" w:eastAsia="仿宋" w:hAnsi="仿宋" w:cs="仿宋_GB2312" w:hint="eastAsia"/>
          <w:b w:val="0"/>
          <w:sz w:val="28"/>
          <w:szCs w:val="28"/>
        </w:rPr>
        <w:t>本赛项拟设裁判5-6名。分为裁判长、加密裁判（2名）、现场裁判。</w:t>
      </w:r>
    </w:p>
    <w:p w14:paraId="3725FDF6" w14:textId="77777777" w:rsidR="00CC7EEB" w:rsidRDefault="00CC7EEB" w:rsidP="00CC7EE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因为本赛项部分成绩由计算机自动评分，只需进行两次加密，加密后参赛选手中途不得擅自离开赛场。分别由2组加密裁判组织实施加密工作，管理加密结果。监督员全程监督加密过程。</w:t>
      </w:r>
    </w:p>
    <w:p w14:paraId="478C8BC0" w14:textId="77777777" w:rsidR="00CC7EEB" w:rsidRDefault="00CC7EEB" w:rsidP="00CC7EE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第一组加密裁判，组织参赛选手进行第一次抽签，产生参赛编号，替换选手参赛证等个人身份信息，填写一次加密记录表连同选手参赛证等个人身份信息证件，装入一次加密结果密封袋中单独保管。</w:t>
      </w:r>
    </w:p>
    <w:p w14:paraId="75DA263B" w14:textId="77777777" w:rsidR="00CC7EEB" w:rsidRDefault="00CC7EEB" w:rsidP="00CC7EE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第二组加密裁判，组织参赛选手进行第二次抽签，</w:t>
      </w:r>
      <w:proofErr w:type="gramStart"/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确定赛</w:t>
      </w:r>
      <w:proofErr w:type="gramEnd"/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位号，替换选手参赛编号，填写二次加密记录表连同选手参赛编号，装入二次加密结果密封袋中单独保管。</w:t>
      </w:r>
    </w:p>
    <w:p w14:paraId="4CF98B56" w14:textId="77777777" w:rsidR="00CC7EEB" w:rsidRDefault="00CC7EEB" w:rsidP="00CC7EE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 xml:space="preserve">所有加密结果密封袋的封条均需相应加密裁判和监督人员签字。密封袋在监督人员监督下由加密裁判放置于保密室的保险柜中保存。  </w:t>
      </w:r>
    </w:p>
    <w:p w14:paraId="1C633D48" w14:textId="77777777" w:rsidR="00CC7EEB" w:rsidRDefault="00CC7EEB" w:rsidP="00CC7EEB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 xml:space="preserve">   （二）裁判评分方法</w:t>
      </w:r>
    </w:p>
    <w:p w14:paraId="2632C13C" w14:textId="77777777" w:rsidR="00CC7EEB" w:rsidRDefault="00CC7EEB" w:rsidP="00CC7EEB">
      <w:pPr>
        <w:pStyle w:val="a7"/>
        <w:adjustRightInd w:val="0"/>
        <w:snapToGrid w:val="0"/>
        <w:spacing w:before="0" w:after="0" w:line="360" w:lineRule="auto"/>
        <w:ind w:firstLineChars="200" w:firstLine="560"/>
        <w:jc w:val="both"/>
        <w:outlineLvl w:val="9"/>
        <w:rPr>
          <w:rFonts w:ascii="仿宋" w:eastAsia="仿宋" w:hAnsi="仿宋" w:cs="仿宋_GB2312"/>
          <w:b w:val="0"/>
          <w:sz w:val="28"/>
          <w:szCs w:val="28"/>
        </w:rPr>
      </w:pPr>
      <w:r>
        <w:rPr>
          <w:rFonts w:ascii="仿宋" w:eastAsia="仿宋" w:hAnsi="仿宋" w:cs="仿宋_GB2312" w:hint="eastAsia"/>
          <w:b w:val="0"/>
          <w:sz w:val="28"/>
          <w:szCs w:val="28"/>
        </w:rPr>
        <w:t>裁判组负责</w:t>
      </w:r>
      <w:proofErr w:type="gramStart"/>
      <w:r>
        <w:rPr>
          <w:rFonts w:ascii="仿宋" w:eastAsia="仿宋" w:hAnsi="仿宋" w:cs="仿宋_GB2312" w:hint="eastAsia"/>
          <w:b w:val="0"/>
          <w:sz w:val="28"/>
          <w:szCs w:val="28"/>
        </w:rPr>
        <w:t>竞赛机</w:t>
      </w:r>
      <w:proofErr w:type="gramEnd"/>
      <w:r>
        <w:rPr>
          <w:rFonts w:ascii="仿宋" w:eastAsia="仿宋" w:hAnsi="仿宋" w:cs="仿宋_GB2312" w:hint="eastAsia"/>
          <w:b w:val="0"/>
          <w:sz w:val="28"/>
          <w:szCs w:val="28"/>
        </w:rPr>
        <w:t>考评分和结果性评分，由裁判长负责</w:t>
      </w:r>
      <w:proofErr w:type="gramStart"/>
      <w:r>
        <w:rPr>
          <w:rFonts w:ascii="仿宋" w:eastAsia="仿宋" w:hAnsi="仿宋" w:cs="仿宋_GB2312" w:hint="eastAsia"/>
          <w:b w:val="0"/>
          <w:sz w:val="28"/>
          <w:szCs w:val="28"/>
        </w:rPr>
        <w:t>竞赛全</w:t>
      </w:r>
      <w:proofErr w:type="gramEnd"/>
      <w:r>
        <w:rPr>
          <w:rFonts w:ascii="仿宋" w:eastAsia="仿宋" w:hAnsi="仿宋" w:cs="仿宋_GB2312" w:hint="eastAsia"/>
          <w:b w:val="0"/>
          <w:sz w:val="28"/>
          <w:szCs w:val="28"/>
        </w:rPr>
        <w:t>过</w:t>
      </w:r>
      <w:r>
        <w:rPr>
          <w:rFonts w:ascii="仿宋" w:eastAsia="仿宋" w:hAnsi="仿宋" w:cs="仿宋_GB2312" w:hint="eastAsia"/>
          <w:b w:val="0"/>
          <w:sz w:val="28"/>
          <w:szCs w:val="28"/>
        </w:rPr>
        <w:lastRenderedPageBreak/>
        <w:t>程。</w:t>
      </w:r>
    </w:p>
    <w:p w14:paraId="042BD89E" w14:textId="77777777" w:rsidR="00CC7EEB" w:rsidRDefault="00CC7EEB" w:rsidP="00CC7EEB">
      <w:pPr>
        <w:pStyle w:val="a7"/>
        <w:adjustRightInd w:val="0"/>
        <w:snapToGrid w:val="0"/>
        <w:spacing w:before="0" w:after="0" w:line="360" w:lineRule="auto"/>
        <w:ind w:firstLineChars="200" w:firstLine="560"/>
        <w:jc w:val="both"/>
        <w:outlineLvl w:val="9"/>
        <w:rPr>
          <w:rFonts w:ascii="仿宋" w:eastAsia="仿宋" w:hAnsi="仿宋" w:cs="仿宋_GB2312"/>
          <w:b w:val="0"/>
          <w:sz w:val="28"/>
          <w:szCs w:val="28"/>
        </w:rPr>
      </w:pPr>
      <w:r>
        <w:rPr>
          <w:rFonts w:ascii="仿宋" w:eastAsia="仿宋" w:hAnsi="仿宋" w:cs="仿宋_GB2312" w:hint="eastAsia"/>
          <w:b w:val="0"/>
          <w:sz w:val="28"/>
          <w:szCs w:val="28"/>
        </w:rPr>
        <w:t>竞赛现场派驻监督员、裁判员、技术支持队伍等，分工明确。裁判员负责与参赛选手的交流沟通及试卷等材料的收发，负责设备问题确认和现场执裁；技术支持工程师负责所有工位设备应急，负责执行裁判确认后的设备应急处理。</w:t>
      </w:r>
    </w:p>
    <w:p w14:paraId="2121D342" w14:textId="77777777" w:rsidR="00CC7EEB" w:rsidRDefault="00CC7EEB" w:rsidP="00CC7EEB">
      <w:pPr>
        <w:adjustRightInd w:val="0"/>
        <w:snapToGrid w:val="0"/>
        <w:spacing w:line="360" w:lineRule="auto"/>
        <w:ind w:firstLine="420"/>
        <w:rPr>
          <w:rFonts w:ascii="仿宋" w:eastAsia="仿宋" w:hAnsi="仿宋" w:cs="仿宋_GB2312"/>
          <w:bCs/>
          <w:kern w:val="28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28"/>
          <w:sz w:val="28"/>
          <w:szCs w:val="28"/>
        </w:rPr>
        <w:t>（三）成绩产生办法</w:t>
      </w:r>
    </w:p>
    <w:p w14:paraId="29B244BF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评分阶段：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963"/>
        <w:gridCol w:w="2185"/>
        <w:gridCol w:w="1638"/>
        <w:gridCol w:w="2736"/>
      </w:tblGrid>
      <w:tr w:rsidR="00CC7EEB" w14:paraId="05A2EA8A" w14:textId="77777777" w:rsidTr="00861060">
        <w:trPr>
          <w:trHeight w:val="285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042EF3" w14:textId="77777777" w:rsidR="00CC7EEB" w:rsidRDefault="00CC7EEB" w:rsidP="00861060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val="zh-CN"/>
              </w:rPr>
              <w:t>竞赛阶段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89F8C5" w14:textId="77777777" w:rsidR="00CC7EEB" w:rsidRDefault="00CC7EEB" w:rsidP="00861060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val="zh-CN"/>
              </w:rPr>
              <w:t>阶段名称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1964E5" w14:textId="77777777" w:rsidR="00CC7EEB" w:rsidRDefault="00CC7EEB" w:rsidP="00861060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val="zh-CN"/>
              </w:rPr>
              <w:t>任务阶段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40A265" w14:textId="77777777" w:rsidR="00CC7EEB" w:rsidRDefault="00CC7EEB" w:rsidP="00861060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val="zh-CN"/>
              </w:rPr>
              <w:t>评分方式</w:t>
            </w:r>
          </w:p>
        </w:tc>
      </w:tr>
      <w:tr w:rsidR="00CC7EEB" w14:paraId="4B216A94" w14:textId="77777777" w:rsidTr="00861060">
        <w:trPr>
          <w:trHeight w:val="1130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0C6EB2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模块</w:t>
            </w:r>
            <w:r>
              <w:rPr>
                <w:rFonts w:ascii="仿宋" w:eastAsia="仿宋" w:hAnsi="仿宋" w:cs="宋体"/>
                <w:sz w:val="24"/>
              </w:rPr>
              <w:t>A</w:t>
            </w:r>
          </w:p>
          <w:p w14:paraId="35FF9634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权重</w:t>
            </w:r>
            <w:r>
              <w:rPr>
                <w:rFonts w:ascii="仿宋" w:eastAsia="仿宋" w:hAnsi="仿宋" w:cs="宋体"/>
                <w:sz w:val="24"/>
              </w:rPr>
              <w:t>20%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2262E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基础设施设置、安全加固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EF6BA9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任务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…</w:t>
            </w:r>
            <w:r>
              <w:rPr>
                <w:rFonts w:ascii="仿宋" w:eastAsia="仿宋" w:hAnsi="仿宋" w:cs="宋体"/>
                <w:sz w:val="24"/>
              </w:rPr>
              <w:t>N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01E7AC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裁判客观评分</w:t>
            </w:r>
          </w:p>
        </w:tc>
      </w:tr>
      <w:tr w:rsidR="00CC7EEB" w14:paraId="2F000FDB" w14:textId="77777777" w:rsidTr="00861060">
        <w:trPr>
          <w:trHeight w:val="1041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29957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模块</w:t>
            </w:r>
            <w:r>
              <w:rPr>
                <w:rFonts w:ascii="仿宋" w:eastAsia="仿宋" w:hAnsi="仿宋" w:cs="宋体"/>
                <w:sz w:val="24"/>
              </w:rPr>
              <w:t>B</w:t>
            </w:r>
          </w:p>
          <w:p w14:paraId="6AC175D2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权重</w:t>
            </w:r>
            <w:r>
              <w:rPr>
                <w:rFonts w:ascii="仿宋" w:eastAsia="仿宋" w:hAnsi="仿宋" w:cs="宋体"/>
                <w:sz w:val="24"/>
              </w:rPr>
              <w:t>40%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1E39D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安全事件响应、网络安全数据取证、应用安全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15CE36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任务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…</w:t>
            </w:r>
            <w:r>
              <w:rPr>
                <w:rFonts w:ascii="仿宋" w:eastAsia="仿宋" w:hAnsi="仿宋" w:cs="宋体"/>
                <w:sz w:val="24"/>
              </w:rPr>
              <w:t xml:space="preserve">N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94AEBB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机考评分</w:t>
            </w:r>
          </w:p>
        </w:tc>
      </w:tr>
      <w:tr w:rsidR="00CC7EEB" w14:paraId="361D98F0" w14:textId="77777777" w:rsidTr="00861060">
        <w:trPr>
          <w:trHeight w:val="300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6D1449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模块</w:t>
            </w:r>
            <w:r>
              <w:rPr>
                <w:rFonts w:ascii="仿宋" w:eastAsia="仿宋" w:hAnsi="仿宋" w:cs="宋体"/>
                <w:sz w:val="24"/>
              </w:rPr>
              <w:t>C</w:t>
            </w:r>
          </w:p>
          <w:p w14:paraId="63AFF22F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权重</w:t>
            </w:r>
            <w:r>
              <w:rPr>
                <w:rFonts w:ascii="仿宋" w:eastAsia="仿宋" w:hAnsi="仿宋" w:cs="宋体"/>
                <w:sz w:val="24"/>
              </w:rPr>
              <w:t>20%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EAE1B8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CTF</w:t>
            </w:r>
            <w:r>
              <w:rPr>
                <w:rFonts w:ascii="仿宋" w:eastAsia="仿宋" w:hAnsi="仿宋" w:cs="宋体" w:hint="eastAsia"/>
                <w:sz w:val="24"/>
              </w:rPr>
              <w:t>夺旗攻击、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E23839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系统攻防演练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93973C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机考评分</w:t>
            </w:r>
          </w:p>
        </w:tc>
      </w:tr>
      <w:tr w:rsidR="00CC7EEB" w14:paraId="4E05DF13" w14:textId="77777777" w:rsidTr="00861060">
        <w:trPr>
          <w:trHeight w:val="300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80F53F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模块</w:t>
            </w:r>
            <w:r>
              <w:rPr>
                <w:rFonts w:ascii="仿宋" w:eastAsia="仿宋" w:hAnsi="仿宋" w:cs="宋体"/>
                <w:sz w:val="24"/>
              </w:rPr>
              <w:t>D</w:t>
            </w:r>
          </w:p>
          <w:p w14:paraId="764D455B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权重</w:t>
            </w:r>
            <w:r>
              <w:rPr>
                <w:rFonts w:ascii="仿宋" w:eastAsia="仿宋" w:hAnsi="仿宋" w:cs="宋体"/>
                <w:sz w:val="24"/>
              </w:rPr>
              <w:t>20%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6A9B3D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CTF</w:t>
            </w:r>
            <w:r>
              <w:rPr>
                <w:rFonts w:ascii="仿宋" w:eastAsia="仿宋" w:hAnsi="仿宋" w:cs="宋体" w:hint="eastAsia"/>
                <w:sz w:val="24"/>
              </w:rPr>
              <w:t>夺旗防御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D22B48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系统攻防演练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D344DF" w14:textId="77777777" w:rsidR="00CC7EEB" w:rsidRDefault="00CC7EEB" w:rsidP="0086106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裁判客观评分</w:t>
            </w:r>
          </w:p>
        </w:tc>
      </w:tr>
    </w:tbl>
    <w:p w14:paraId="524BC15B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A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、模块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B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评分规则</w:t>
      </w:r>
    </w:p>
    <w:p w14:paraId="3F4597A6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A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与模块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B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总分为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600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分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分为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N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任务，每道题的具体分值在赛题中标明；模块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A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基础设施设置、安全加固部分评分由评分裁判客观评分；模块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B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安全事件响应、网络安全数据取证、应用安全等部分由系统自动评分和排名。</w:t>
      </w:r>
    </w:p>
    <w:p w14:paraId="6BD7A21B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C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、模块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D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评分规则</w:t>
      </w:r>
    </w:p>
    <w:p w14:paraId="4A72C7BD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C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总分为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200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分，按照选手获得攻击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“FLAG”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的值得到相应的分数。系统自动评分和排名。</w:t>
      </w:r>
    </w:p>
    <w:p w14:paraId="30658716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模块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D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总分为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200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分，按照选手答题内容，由评分裁判进行客观评分。</w:t>
      </w:r>
    </w:p>
    <w:p w14:paraId="41FC2046" w14:textId="77777777" w:rsidR="00CC7EEB" w:rsidRDefault="00CC7EEB" w:rsidP="00CC7EEB">
      <w:pPr>
        <w:autoSpaceDE w:val="0"/>
        <w:autoSpaceDN w:val="0"/>
        <w:adjustRightInd w:val="0"/>
        <w:spacing w:line="560" w:lineRule="atLeast"/>
        <w:ind w:firstLine="42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4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选手在答题过程中不得违反竞赛试题要求答题，不得以违规形式获取得分，不得违规攻击裁判服务器、网关、系统服务器等非靶机目标，如检测选手有违规攻击行为，警告一次后若继续攻击，判令该队终止竞赛，清离出场。</w:t>
      </w:r>
    </w:p>
    <w:p w14:paraId="006EE9A3" w14:textId="77777777" w:rsidR="00CC7EEB" w:rsidRDefault="00CC7EEB" w:rsidP="00CC7EEB">
      <w:pPr>
        <w:spacing w:line="560" w:lineRule="exact"/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</w:pPr>
    </w:p>
    <w:p w14:paraId="3A05BB47" w14:textId="77777777" w:rsidR="00CC7EEB" w:rsidRDefault="00CC7EEB" w:rsidP="00CC7EEB">
      <w:pPr>
        <w:spacing w:line="560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</w:p>
    <w:p w14:paraId="6A7A066C" w14:textId="77777777" w:rsidR="00D03AA6" w:rsidRPr="00CC7EEB" w:rsidRDefault="00D03AA6"/>
    <w:sectPr w:rsidR="00D03AA6" w:rsidRPr="00CC7EEB">
      <w:headerReference w:type="default" r:id="rId6"/>
      <w:footerReference w:type="default" r:id="rId7"/>
      <w:pgSz w:w="11906" w:h="16838"/>
      <w:pgMar w:top="1134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D935" w14:textId="77777777" w:rsidR="001E5DB1" w:rsidRDefault="001E5DB1" w:rsidP="00CC7EEB">
      <w:r>
        <w:separator/>
      </w:r>
    </w:p>
  </w:endnote>
  <w:endnote w:type="continuationSeparator" w:id="0">
    <w:p w14:paraId="07BE7B10" w14:textId="77777777" w:rsidR="001E5DB1" w:rsidRDefault="001E5DB1" w:rsidP="00C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6863" w14:textId="45B8392B" w:rsidR="00B16E7C" w:rsidRDefault="00CC7E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E5AF4" wp14:editId="465854C1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67310" cy="153035"/>
              <wp:effectExtent l="0" t="0" r="0" b="9525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B23FE82" w14:textId="77777777" w:rsidR="00B16E7C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>ER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E5AF4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6" type="#_x0000_t202" style="position:absolute;margin-left:0;margin-top:16.5pt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" filled="f" stroked="f">
              <v:textbox style="mso-fit-shape-to-text:t" inset="0,0,0,0">
                <w:txbxContent>
                  <w:p w14:paraId="3B23FE82" w14:textId="77777777" w:rsidR="00B16E7C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</w:instrText>
                    </w:r>
                    <w:r>
                      <w:rPr>
                        <w:rFonts w:hint="eastAsia"/>
                        <w:sz w:val="18"/>
                      </w:rPr>
                      <w:instrText>ER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D06E" w14:textId="77777777" w:rsidR="001E5DB1" w:rsidRDefault="001E5DB1" w:rsidP="00CC7EEB">
      <w:r>
        <w:separator/>
      </w:r>
    </w:p>
  </w:footnote>
  <w:footnote w:type="continuationSeparator" w:id="0">
    <w:p w14:paraId="49B2D2E2" w14:textId="77777777" w:rsidR="001E5DB1" w:rsidRDefault="001E5DB1" w:rsidP="00CC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442F" w14:textId="77777777" w:rsidR="00B16E7C" w:rsidRDefault="0000000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1B"/>
    <w:rsid w:val="001E5DB1"/>
    <w:rsid w:val="0054741B"/>
    <w:rsid w:val="008A042E"/>
    <w:rsid w:val="00CC7EEB"/>
    <w:rsid w:val="00D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1E4DA"/>
  <w15:chartTrackingRefBased/>
  <w15:docId w15:val="{3D845E75-14DC-4DAF-9EE4-3FB0C761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CC7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E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C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C7E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7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7EEB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CC7EE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CC7EEB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qFormat/>
    <w:rsid w:val="00CC7EEB"/>
    <w:pPr>
      <w:spacing w:before="240" w:after="60"/>
      <w:jc w:val="center"/>
      <w:outlineLvl w:val="0"/>
    </w:pPr>
    <w:rPr>
      <w:rFonts w:ascii="Calibri Light" w:eastAsia="华文中宋" w:hAnsi="Calibri Light" w:cs="宋体"/>
      <w:b/>
      <w:bCs/>
      <w:sz w:val="44"/>
      <w:szCs w:val="32"/>
    </w:rPr>
  </w:style>
  <w:style w:type="character" w:customStyle="1" w:styleId="aa">
    <w:name w:val="标题 字符"/>
    <w:basedOn w:val="a0"/>
    <w:link w:val="a9"/>
    <w:rsid w:val="00CC7EEB"/>
    <w:rPr>
      <w:rFonts w:ascii="Calibri Light" w:eastAsia="华文中宋" w:hAnsi="Calibri Light" w:cs="宋体"/>
      <w:b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C7EE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亚俊</dc:creator>
  <cp:keywords/>
  <dc:description/>
  <cp:lastModifiedBy>张 亚俊</cp:lastModifiedBy>
  <cp:revision>6</cp:revision>
  <dcterms:created xsi:type="dcterms:W3CDTF">2022-07-15T08:47:00Z</dcterms:created>
  <dcterms:modified xsi:type="dcterms:W3CDTF">2022-07-15T08:48:00Z</dcterms:modified>
</cp:coreProperties>
</file>