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outlineLvl w:val="1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智能制造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系统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解决方案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揭榜挂帅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>项目推荐汇总表</w:t>
      </w: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eastAsia" w:eastAsia="仿宋_GB2312"/>
          <w:b/>
          <w:bCs/>
          <w:color w:val="auto"/>
          <w:sz w:val="24"/>
          <w:szCs w:val="24"/>
          <w:highlight w:val="none"/>
        </w:rPr>
        <w:t>　　　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推荐单位（盖章）：</w:t>
      </w: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388"/>
        <w:gridCol w:w="1637"/>
        <w:gridCol w:w="1991"/>
        <w:gridCol w:w="2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0"/>
                <w:sz w:val="24"/>
                <w:szCs w:val="24"/>
                <w:highlight w:val="none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7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解决方案名称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服务重点行业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leftChars="0" w:right="0" w:rightChars="0"/>
              <w:jc w:val="center"/>
              <w:rPr>
                <w:b w:val="0"/>
                <w:bCs w:val="0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涉及典型场景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7"/>
                <w:sz w:val="24"/>
                <w:szCs w:val="24"/>
                <w:highlight w:val="none"/>
              </w:rPr>
              <w:t>系人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beforeAutospacing="0" w:after="0" w:afterAutospacing="0" w:line="194" w:lineRule="auto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pacing w:val="-16"/>
                <w:position w:val="1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pacing w:val="7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eastAsia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cs="Times New Roman"/>
          <w:color w:val="auto"/>
          <w:spacing w:val="3"/>
          <w:sz w:val="24"/>
          <w:szCs w:val="24"/>
          <w:highlight w:val="none"/>
        </w:rPr>
        <w:t>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pacing w:val="8"/>
          <w:position w:val="2"/>
          <w:sz w:val="24"/>
          <w:szCs w:val="24"/>
          <w:highlight w:val="none"/>
        </w:rPr>
        <w:t>2</w:t>
      </w:r>
      <w:r>
        <w:rPr>
          <w:rFonts w:hint="eastAsia" w:ascii="Times New Roman" w:hAnsi="Times New Roman" w:cs="Times New Roman"/>
          <w:color w:val="auto"/>
          <w:spacing w:val="6"/>
          <w:position w:val="2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pacing w:val="4"/>
          <w:position w:val="2"/>
          <w:sz w:val="24"/>
          <w:szCs w:val="24"/>
          <w:highlight w:val="none"/>
        </w:rPr>
        <w:t>推荐</w:t>
      </w:r>
      <w:r>
        <w:rPr>
          <w:rFonts w:hint="eastAsia" w:cs="Times New Roman"/>
          <w:color w:val="auto"/>
          <w:spacing w:val="4"/>
          <w:position w:val="2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pacing w:val="4"/>
          <w:position w:val="2"/>
          <w:sz w:val="24"/>
          <w:szCs w:val="24"/>
          <w:highlight w:val="none"/>
        </w:rPr>
        <w:t>按优先次序排名。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00" w:firstLineChars="200"/>
        <w:jc w:val="both"/>
        <w:textAlignment w:val="auto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5"/>
          <w:sz w:val="24"/>
          <w:szCs w:val="24"/>
          <w:highlight w:val="none"/>
        </w:rPr>
        <w:t>3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.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解决方案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涉及典型场景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eastAsia="zh-CN"/>
        </w:rPr>
        <w:t>”应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根据</w:t>
      </w:r>
      <w:r>
        <w:rPr>
          <w:rFonts w:hint="eastAsia" w:ascii="Times New Roman" w:hAnsi="Times New Roman" w:cs="Times New Roman"/>
          <w:color w:val="auto"/>
          <w:spacing w:val="5"/>
          <w:sz w:val="24"/>
          <w:szCs w:val="24"/>
          <w:highlight w:val="none"/>
          <w:lang w:eastAsia="zh-CN"/>
        </w:rPr>
        <w:t>《智能制造典型场景参考指引（2024年版）》（工信厅通装函〔2024〕361号）</w:t>
      </w:r>
      <w:r>
        <w:rPr>
          <w:rFonts w:hint="eastAsia" w:cs="Times New Roman"/>
          <w:color w:val="auto"/>
          <w:spacing w:val="5"/>
          <w:sz w:val="24"/>
          <w:szCs w:val="24"/>
          <w:highlight w:val="none"/>
          <w:lang w:val="en-US" w:eastAsia="zh-CN"/>
        </w:rPr>
        <w:t>填写，当涉及多个智能制造典型场景时，需全部罗列，并用分号隔开</w:t>
      </w:r>
      <w:r>
        <w:rPr>
          <w:rFonts w:hint="default" w:ascii="Times New Roman" w:hAnsi="Times New Roman" w:cs="Times New Roman"/>
          <w:color w:val="auto"/>
          <w:spacing w:val="5"/>
          <w:sz w:val="24"/>
          <w:szCs w:val="24"/>
          <w:highlight w:val="none"/>
        </w:rPr>
        <w:t>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+L3UTQAAAA&#10;AgEAAA8AAAAAAAAAAQAgAAAAIgAAAGRycy9kb3ducmV2LnhtbFBLAQIUABQAAAAIAIdO4kDEJO+j&#10;swEAAEg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97F58"/>
    <w:rsid w:val="3BAE5189"/>
    <w:rsid w:val="3D0FAFDB"/>
    <w:rsid w:val="54F36A6A"/>
    <w:rsid w:val="9EDFFA6E"/>
    <w:rsid w:val="EFF1489A"/>
    <w:rsid w:val="FDD97F58"/>
    <w:rsid w:val="FF77EFAB"/>
    <w:rsid w:val="FFBEC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2024-09-28T18:39:00Z</dcterms:created>
  <dc:creator>赵奉杰</dc:creator>
  <cp:lastModifiedBy>Administrator</cp:lastModifiedBy>
  <dcterms:modified xsi:type="dcterms:W3CDTF">2024-11-01T07:50:16Z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