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463B">
      <w:pPr>
        <w:keepNext w:val="0"/>
        <w:keepLines w:val="0"/>
        <w:pageBreakBefore w:val="0"/>
        <w:kinsoku/>
        <w:overflowPunct/>
        <w:autoSpaceDE/>
        <w:autoSpaceDN/>
        <w:bidi w:val="0"/>
        <w:spacing w:beforeAutospacing="0" w:afterAutospacing="0" w:line="560" w:lineRule="exact"/>
        <w:ind w:left="0" w:leftChars="0"/>
        <w:rPr>
          <w:rFonts w:hint="default" w:ascii="Times New Roman Regular" w:hAnsi="Times New Roman Regular" w:eastAsia="方正小标宋简体" w:cs="Times New Roman Regular"/>
          <w:sz w:val="44"/>
          <w:szCs w:val="44"/>
          <w:lang w:val="en-US"/>
        </w:rPr>
      </w:pPr>
      <w:r>
        <w:rPr>
          <w:rFonts w:hint="default" w:ascii="Times New Roman Regular" w:hAnsi="Times New Roman Regular" w:eastAsia="黑体" w:cs="Times New Roman Regular"/>
          <w:sz w:val="32"/>
          <w:szCs w:val="32"/>
        </w:rPr>
        <w:t>附件</w:t>
      </w:r>
      <w:r>
        <w:rPr>
          <w:rFonts w:hint="eastAsia" w:ascii="Times New Roman Regular" w:hAnsi="Times New Roman Regular" w:eastAsia="黑体" w:cs="Times New Roman Regular"/>
          <w:sz w:val="32"/>
          <w:szCs w:val="32"/>
          <w:lang w:val="en-US" w:eastAsia="zh-CN"/>
        </w:rPr>
        <w:t>1：</w:t>
      </w:r>
    </w:p>
    <w:p w14:paraId="07E553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Regular" w:hAnsi="Times New Roman Regular" w:eastAsia="方正小标宋简体" w:cs="Times New Roman Regular"/>
          <w:sz w:val="44"/>
          <w:szCs w:val="44"/>
          <w:lang w:val="en-US"/>
        </w:rPr>
      </w:pPr>
      <w:r>
        <w:rPr>
          <w:rFonts w:hint="eastAsia" w:ascii="Times New Roman Regular" w:hAnsi="Times New Roman Regular" w:eastAsia="方正小标宋简体" w:cs="Times New Roman Regular"/>
          <w:sz w:val="44"/>
          <w:szCs w:val="44"/>
          <w:lang w:val="en-US"/>
        </w:rPr>
        <w:t>兖矿鲁南化工有限公司合作需求</w:t>
      </w:r>
    </w:p>
    <w:p w14:paraId="61B1501E">
      <w:pPr>
        <w:keepNext w:val="0"/>
        <w:keepLines w:val="0"/>
        <w:pageBreakBefore w:val="0"/>
        <w:kinsoku/>
        <w:overflowPunct/>
        <w:autoSpaceDE/>
        <w:autoSpaceDN/>
        <w:bidi w:val="0"/>
        <w:spacing w:beforeAutospacing="0" w:afterAutospacing="0" w:line="560" w:lineRule="exact"/>
        <w:ind w:left="0" w:leftChars="0"/>
        <w:rPr>
          <w:rFonts w:hint="eastAsia"/>
          <w:lang w:val="en-US"/>
        </w:rPr>
      </w:pPr>
    </w:p>
    <w:p w14:paraId="3F12F3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Times New Roman Regular" w:hAnsi="Times New Roman Regular" w:eastAsia="黑体" w:cs="Times New Roman Regular"/>
          <w:color w:val="auto"/>
          <w:sz w:val="32"/>
          <w:szCs w:val="32"/>
          <w:lang w:val="en-US" w:eastAsia="zh-CN"/>
        </w:rPr>
      </w:pPr>
      <w:r>
        <w:rPr>
          <w:rFonts w:hint="eastAsia" w:ascii="Times New Roman Regular" w:hAnsi="Times New Roman Regular" w:eastAsia="黑体" w:cs="Times New Roman Regular"/>
          <w:color w:val="auto"/>
          <w:sz w:val="32"/>
          <w:szCs w:val="32"/>
          <w:lang w:val="en-US" w:eastAsia="zh-CN"/>
        </w:rPr>
        <w:t>一、企业基本情况</w:t>
      </w:r>
    </w:p>
    <w:p w14:paraId="1FB90D9E">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Regular" w:hAnsi="Times New Roman Regular" w:eastAsia="楷体_GB2312" w:cs="Times New Roman Regular"/>
          <w:b w:val="0"/>
          <w:bCs w:val="0"/>
          <w:color w:val="auto"/>
          <w:kern w:val="2"/>
          <w:sz w:val="32"/>
          <w:szCs w:val="32"/>
          <w:lang w:val="en-US" w:eastAsia="zh-CN" w:bidi="ar-SA"/>
        </w:rPr>
      </w:pPr>
      <w:r>
        <w:rPr>
          <w:rFonts w:hint="eastAsia" w:ascii="Times New Roman Regular" w:hAnsi="Times New Roman Regular" w:eastAsia="楷体_GB2312" w:cs="Times New Roman Regular"/>
          <w:b w:val="0"/>
          <w:bCs w:val="0"/>
          <w:color w:val="auto"/>
          <w:kern w:val="2"/>
          <w:sz w:val="32"/>
          <w:szCs w:val="32"/>
          <w:lang w:val="en-US" w:eastAsia="zh-CN" w:bidi="ar-SA"/>
        </w:rPr>
        <w:t>（一）综合情况</w:t>
      </w:r>
    </w:p>
    <w:p w14:paraId="4B862AE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兖矿鲁南化工有限公司是世界500强企业山东能源集团下属兖矿能源集团股份有限公司的全资子公司。公司始建于1967年，经过58年的发展，由单一化肥生产企业发展成为高端化学品、化工新材料产品生产与研发的大型高科技化工企业。截至2025年6月末，公司占地面积4080亩，在岗员工3100余人，总资产120余亿元。公司产品线丰富，拥有醋酸、醋酐、聚甲醛、己内酰胺等20余种产品，总产能超过500万吨，其中醋酸、聚甲醛产能位居全国前列。在产业链布局上，产品上下游关联度高，已形成初具规模的合成氨—己内酰胺—尼龙6切片、甲醇—甲醛—聚甲醛、醋酸—醋酐—醋酸酯—醋酸纤维素等多条产品链。</w:t>
      </w:r>
    </w:p>
    <w:p w14:paraId="4422E9E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Regular" w:hAnsi="Times New Roman Regular" w:eastAsia="楷体_GB2312" w:cs="Times New Roman Regular"/>
          <w:b w:val="0"/>
          <w:bCs w:val="0"/>
          <w:color w:val="auto"/>
          <w:kern w:val="2"/>
          <w:sz w:val="32"/>
          <w:szCs w:val="32"/>
          <w:lang w:val="en-US" w:eastAsia="zh-CN" w:bidi="ar-SA"/>
        </w:rPr>
      </w:pPr>
      <w:r>
        <w:rPr>
          <w:rFonts w:hint="eastAsia" w:ascii="Times New Roman Regular" w:hAnsi="Times New Roman Regular" w:eastAsia="楷体_GB2312" w:cs="Times New Roman Regular"/>
          <w:b w:val="0"/>
          <w:bCs w:val="0"/>
          <w:color w:val="auto"/>
          <w:kern w:val="2"/>
          <w:sz w:val="32"/>
          <w:szCs w:val="32"/>
          <w:lang w:val="en-US" w:eastAsia="zh-CN" w:bidi="ar-SA"/>
        </w:rPr>
        <w:t>（二）产品情况</w:t>
      </w:r>
    </w:p>
    <w:p w14:paraId="6F060AD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鲁南化工的产品体系主要分为两大板块：</w:t>
      </w:r>
    </w:p>
    <w:p w14:paraId="29F2094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1.醇基产品。包括甲醇（50万吨/年）、醋酸（100万吨/年）、乙酯（20万吨/年）、丁酯（10万吨/年）、甲酯（7.1万吨/年）、醋酐（15万吨/年）、甲醛（46万吨/年）、聚甲醛（8万吨/年）等。2022—2023年，连续两年荣获“氮肥、甲醇行业节能减排先进单位”称号。</w:t>
      </w:r>
    </w:p>
    <w:p w14:paraId="60909FA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2.氨基产品。包括液氨（30万吨/年）、硫酸（40万吨/年）、双氧水（32万吨/年）、环己酮（27万吨/年）等。</w:t>
      </w:r>
    </w:p>
    <w:p w14:paraId="55981AE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三）技术实力。公司拥有“山东省煤基化工技术创新”和“高端煤基化工新材料山东省工程研究中心”两个省级技术研发平台和对置式多喷嘴水煤浆气化、甲醇低压羰基合成醋酸等多项具有自主知识产权的核心技术。</w:t>
      </w:r>
    </w:p>
    <w:p w14:paraId="447B7DA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公司先后荣获全国科技进步一等奖、国家优质工程金奖、国家级高新技术企业、山东省“十强”产业集群高端化工领军企业、全省煤基精细化工产业链链主企业和第八届“山东省省长质量奖”等荣誉，2023年入选国务院国资委“科改示范企业”和“山东省绿色低碳高质量发展先行区试点企业”。</w:t>
      </w:r>
    </w:p>
    <w:p w14:paraId="75BE1E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Times New Roman Regular" w:hAnsi="Times New Roman Regular" w:eastAsia="黑体" w:cs="Times New Roman Regular"/>
          <w:color w:val="auto"/>
          <w:sz w:val="32"/>
          <w:szCs w:val="32"/>
          <w:lang w:val="en-US" w:eastAsia="zh-CN"/>
        </w:rPr>
      </w:pPr>
      <w:r>
        <w:rPr>
          <w:rFonts w:hint="eastAsia" w:ascii="Times New Roman Regular" w:hAnsi="Times New Roman Regular" w:eastAsia="黑体" w:cs="Times New Roman Regular"/>
          <w:color w:val="auto"/>
          <w:sz w:val="32"/>
          <w:szCs w:val="32"/>
          <w:lang w:val="en-US" w:eastAsia="zh-CN"/>
        </w:rPr>
        <w:t>二、合作需求主要集中在以下领域</w:t>
      </w:r>
    </w:p>
    <w:p w14:paraId="6AFE634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一）原材料合作需求。一是现需与矿产资源企业建立长期供应链合作，以“大矿、长协、铁路直发”为原则，稳定获取煤炭资源。二是公司原材料对丙烯、乙醇、纯苯和硫磺有较大需求，其中丙烯、乙醇和纯苯以厂家直接长协采购为主，硫磺寻求有进口资质和能力的公司合作。</w:t>
      </w:r>
    </w:p>
    <w:p w14:paraId="4519398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二）设备设施合作需求。现需引入光伏、储能等绿色能源设施，推进APC、AI预防性维护等智能化升级，并建设余热、余能回收等综合利用设施。诚望与能源管理及信息化管理解决方案提供商携手合作，以提升设备管理水平与能源利用效率。</w:t>
      </w:r>
    </w:p>
    <w:p w14:paraId="7BF279C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（三）安全环保合作需求。现需污水处理、VOCs治理等方面技术，希望联合环保技术公司、高校研发机构开发高效低耗处理工艺，共建安全环保解决方案。</w:t>
      </w:r>
    </w:p>
    <w:p w14:paraId="10AE9F4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四）产品市场合作。一是现需求主要集中在高端化工材料、新能源材料及绿色技术领域：‌聚甲醛项目采用国际领先的共聚甲醛技术，产品性能对标国际顶尖水平，可替代进口高端工程塑料，寻求新能源汽车精密齿轮、高端电子连接器等领域合作；二是醋酸产能居全国前列，寻求醋酸及衍生物下游应用拓展项目合作；三是己内酰胺主要用于尼龙6（PA6）生产，寻求合作可聚焦特种纤维、薄膜等领域生产企业；寻求合作出口企业，以缓解供需压力；四是‌绿色技术应用‌寻求碳捕集装置、余热发电系统等领域合作。</w:t>
      </w:r>
    </w:p>
    <w:p w14:paraId="5ADBA30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（五）政策与专项支持。在科技研发方面，期待提供税费减免、资金补助，支持研发投入。在项目建设方面，期待项目专项奖补资金支持。</w:t>
      </w:r>
    </w:p>
    <w:p w14:paraId="03FE434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六）技术合作需求。一是醋酸下游醋酸纤维素。醋酸纤维素是一种由天然纤维素与乙酸通过酯化反应生成的生物基高分子材料。鲁南化工具有醋酸、醋酐及公用工程的生产优势，希望与下游醋酸纤维素需求或有醋酸纤维素技术的企业共同开发高性能、多功能的产品（如二醋酸纤维素和三醋酸纤维素等），应用于烟草、眼镜、感光印刷版材领域的高端产品。二是环己烯酯化加氢制环己酮。环己酮是重要的有机化工原料，作为苯的第二大衍生物，是生产尼龙6单体己内酰胺和尼龙66单体己二胺、己二酸的重要中间体，还可以作为性能优异的高档溶剂，在涂料、油墨、制药、农药、胶黏剂、感光材料等领域广泛应用。公司寻求降低环己酮生产成本、优化环己酮合成，实现苯选择加氢、环己烯酯化、乙酸环己酯加氢、环己醇脱氢等连续性生产工艺技术及高效催化剂等方面的合作。</w:t>
      </w:r>
    </w:p>
    <w:p w14:paraId="2AD7C28A">
      <w:pPr>
        <w:keepNext w:val="0"/>
        <w:keepLines w:val="0"/>
        <w:pageBreakBefore w:val="0"/>
        <w:kinsoku/>
        <w:overflowPunct/>
        <w:autoSpaceDE/>
        <w:autoSpaceDN/>
        <w:bidi w:val="0"/>
        <w:spacing w:beforeAutospacing="0" w:afterAutospacing="0" w:line="560" w:lineRule="exact"/>
        <w:ind w:left="0" w:leftChars="0"/>
        <w:rPr>
          <w:rFonts w:hint="eastAsia"/>
        </w:rPr>
      </w:pPr>
    </w:p>
    <w:p w14:paraId="5A9F50F9">
      <w:pPr>
        <w:keepNext w:val="0"/>
        <w:keepLines w:val="0"/>
        <w:pageBreakBefore w:val="0"/>
        <w:kinsoku/>
        <w:overflowPunct/>
        <w:autoSpaceDE/>
        <w:autoSpaceDN/>
        <w:bidi w:val="0"/>
        <w:spacing w:beforeAutospacing="0" w:afterAutospacing="0" w:line="560" w:lineRule="exact"/>
        <w:ind w:left="0" w:leftChars="0"/>
        <w:rPr>
          <w:rFonts w:hint="eastAsia"/>
        </w:rPr>
      </w:pPr>
    </w:p>
    <w:p w14:paraId="444E2427">
      <w:pPr>
        <w:pStyle w:val="2"/>
        <w:keepNext w:val="0"/>
        <w:keepLines w:val="0"/>
        <w:pageBreakBefore w:val="0"/>
        <w:kinsoku/>
        <w:overflowPunct/>
        <w:autoSpaceDE/>
        <w:autoSpaceDN/>
        <w:bidi w:val="0"/>
        <w:spacing w:before="0" w:beforeAutospacing="0" w:after="0" w:afterAutospacing="0" w:line="560" w:lineRule="exact"/>
        <w:ind w:left="0" w:leftChars="0"/>
        <w:rPr>
          <w:rFonts w:hint="eastAsia"/>
        </w:rPr>
      </w:pPr>
    </w:p>
    <w:p w14:paraId="6D511F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Regular" w:hAnsi="Times New Roman Regular" w:eastAsia="方正小标宋简体" w:cs="Times New Roman Regular"/>
          <w:sz w:val="44"/>
          <w:szCs w:val="44"/>
          <w:lang w:val="en-US"/>
        </w:rPr>
      </w:pPr>
      <w:r>
        <w:rPr>
          <w:rFonts w:hint="eastAsia" w:ascii="Times New Roman Regular" w:hAnsi="Times New Roman Regular" w:eastAsia="方正小标宋简体" w:cs="Times New Roman Regular"/>
          <w:sz w:val="44"/>
          <w:szCs w:val="44"/>
          <w:lang w:val="en-US"/>
        </w:rPr>
        <w:t>联泓新材料科技股份有限公司合作需求</w:t>
      </w:r>
    </w:p>
    <w:p w14:paraId="611B1CB0">
      <w:pPr>
        <w:keepNext w:val="0"/>
        <w:keepLines w:val="0"/>
        <w:pageBreakBefore w:val="0"/>
        <w:kinsoku/>
        <w:overflowPunct/>
        <w:autoSpaceDE/>
        <w:autoSpaceDN/>
        <w:bidi w:val="0"/>
        <w:spacing w:beforeAutospacing="0" w:afterAutospacing="0" w:line="560" w:lineRule="exact"/>
        <w:ind w:left="0" w:leftChars="0"/>
        <w:rPr>
          <w:rFonts w:hint="eastAsia"/>
          <w:lang w:val="en-US"/>
        </w:rPr>
      </w:pPr>
    </w:p>
    <w:p w14:paraId="5DDB9A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Times New Roman Regular" w:hAnsi="Times New Roman Regular" w:eastAsia="黑体" w:cs="Times New Roman Regular"/>
          <w:color w:val="auto"/>
          <w:sz w:val="32"/>
          <w:szCs w:val="32"/>
          <w:lang w:val="en-US" w:eastAsia="zh-CN"/>
        </w:rPr>
      </w:pPr>
      <w:r>
        <w:rPr>
          <w:rFonts w:hint="eastAsia" w:ascii="Times New Roman Regular" w:hAnsi="Times New Roman Regular" w:eastAsia="黑体" w:cs="Times New Roman Regular"/>
          <w:color w:val="auto"/>
          <w:sz w:val="32"/>
          <w:szCs w:val="32"/>
          <w:lang w:val="en-US" w:eastAsia="zh-CN"/>
        </w:rPr>
        <w:t>一、企业基本情况</w:t>
      </w:r>
    </w:p>
    <w:p w14:paraId="57B7FA3F">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Regular" w:hAnsi="Times New Roman Regular" w:eastAsia="楷体_GB2312" w:cs="Times New Roman Regular"/>
          <w:b w:val="0"/>
          <w:bCs w:val="0"/>
          <w:color w:val="auto"/>
          <w:kern w:val="2"/>
          <w:sz w:val="32"/>
          <w:szCs w:val="32"/>
          <w:lang w:val="en-US" w:eastAsia="zh-CN" w:bidi="ar-SA"/>
        </w:rPr>
      </w:pPr>
      <w:r>
        <w:rPr>
          <w:rFonts w:hint="eastAsia" w:ascii="Times New Roman Regular" w:hAnsi="Times New Roman Regular" w:eastAsia="楷体_GB2312" w:cs="Times New Roman Regular"/>
          <w:b w:val="0"/>
          <w:bCs w:val="0"/>
          <w:color w:val="auto"/>
          <w:kern w:val="2"/>
          <w:sz w:val="32"/>
          <w:szCs w:val="32"/>
          <w:lang w:val="en-US" w:eastAsia="zh-CN" w:bidi="ar-SA"/>
        </w:rPr>
        <w:t>（一）综合情况</w:t>
      </w:r>
    </w:p>
    <w:p w14:paraId="145C297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联泓新材料科技股份有限公司（以下简称“公司”）是一家新材料产品和解决方案供应商，专注于新材料产品的研发、生产与销售，是国家级高新技术企业、国家级绿色工厂。经过十余年的发展，公司从一片绿地成长为一家总资产超过200亿元的现代化高端新材料企业，旗下拥有4个产业园区、4家国家高新技术企业、2家省级“专精特新”企业，已投产运营装置30余套。公司于2020年12月8日在深圳证券交易所挂牌上市。</w:t>
      </w:r>
    </w:p>
    <w:p w14:paraId="0801D50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当前，公司正在实施新一轮产业投资，布局新能源光伏及电池材料、生物可降解及生物基材料、电子材料和其他特种材料等，其中：总投资125亿元的“联泓格润新能源材料和生物可降解材料一体化项目”主要建设130万吨/年甲醇制烯烃（DMTO）、20万吨/年乙烯-醋酸乙烯共聚物（EVA）、30万吨/年环氧丙烷（PO）、5万吨/年聚碳酸亚丙酯（PPC）、24万吨/年聚醚多元醇（PPG）等多套装置，项目已于9月份建成中交，进入试生产准备阶段，预计2025年底陆续投产。</w:t>
      </w:r>
    </w:p>
    <w:p w14:paraId="6C719D6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公司获评全球新能源企业500强、全国工业和信息化系统先进集体、中国石油和化工民营企业百强、中国精细化工百强、中国卓越管理公司、胡润中国新材料企业百强、山东省优秀企业、山东省特色产业集群龙头企业、山东省“十强”产业集群领军企业、山东省新材料领军企业等。公司股票入选深证成指、深股通、富时罗素大盘股、沪深300备选股、中证光伏产业指数名单，连续三年获深交所信息披露工作考评A级。</w:t>
      </w:r>
    </w:p>
    <w:p w14:paraId="46634DC3">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Regular" w:hAnsi="Times New Roman Regular" w:eastAsia="楷体_GB2312" w:cs="Times New Roman Regular"/>
          <w:b w:val="0"/>
          <w:bCs w:val="0"/>
          <w:color w:val="auto"/>
          <w:kern w:val="2"/>
          <w:sz w:val="32"/>
          <w:szCs w:val="32"/>
          <w:lang w:val="en-US" w:eastAsia="zh-CN" w:bidi="ar-SA"/>
        </w:rPr>
      </w:pPr>
      <w:r>
        <w:rPr>
          <w:rFonts w:hint="eastAsia" w:ascii="Times New Roman Regular" w:hAnsi="Times New Roman Regular" w:eastAsia="楷体_GB2312" w:cs="Times New Roman Regular"/>
          <w:b w:val="0"/>
          <w:bCs w:val="0"/>
          <w:color w:val="auto"/>
          <w:kern w:val="2"/>
          <w:sz w:val="32"/>
          <w:szCs w:val="32"/>
          <w:lang w:val="en-US" w:eastAsia="zh-CN" w:bidi="ar-SA"/>
        </w:rPr>
        <w:t>（二）产品情况</w:t>
      </w:r>
    </w:p>
    <w:p w14:paraId="01890A7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公司的产品体系主要分为四个方向：</w:t>
      </w:r>
    </w:p>
    <w:p w14:paraId="11DFC88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1.新能源材料：包括乙烯-醋酸乙烯共聚物EVA（产能35万吨/年）、聚烯烃弹性体POE（10万吨/年）、碳酸酯锂电溶剂（10万吨/年）、超高分子量聚乙烯UHMWPE（2万吨/年）、锂电添加剂VC（4000吨/年）、固态/半固态电池材料、钠电池材料等。</w:t>
      </w:r>
    </w:p>
    <w:p w14:paraId="5DACB2D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2.生物可降解及生物基材料：包括聚乳酸PLA（4万吨/年）、聚碳酸亚丙酯PPC（5万吨/年）等。</w:t>
      </w:r>
    </w:p>
    <w:p w14:paraId="77CB041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3.电子材料：包括电子特气（1万吨/年）、湿电子化学品等。</w:t>
      </w:r>
    </w:p>
    <w:p w14:paraId="5AE1240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4.其他特种材料：包括高端光学树脂XDI（4000吨/年，拟建）、特种表面活性剂EOD（12万吨/年）等。</w:t>
      </w:r>
    </w:p>
    <w:p w14:paraId="0A63E688">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Regular" w:hAnsi="Times New Roman Regular" w:eastAsia="楷体_GB2312" w:cs="Times New Roman Regular"/>
          <w:b w:val="0"/>
          <w:bCs w:val="0"/>
          <w:color w:val="auto"/>
          <w:kern w:val="2"/>
          <w:sz w:val="32"/>
          <w:szCs w:val="32"/>
          <w:lang w:val="en-US" w:eastAsia="zh-CN" w:bidi="ar-SA"/>
        </w:rPr>
      </w:pPr>
      <w:r>
        <w:rPr>
          <w:rFonts w:hint="eastAsia" w:ascii="Times New Roman Regular" w:hAnsi="Times New Roman Regular" w:eastAsia="楷体_GB2312" w:cs="Times New Roman Regular"/>
          <w:b w:val="0"/>
          <w:bCs w:val="0"/>
          <w:color w:val="auto"/>
          <w:kern w:val="2"/>
          <w:sz w:val="32"/>
          <w:szCs w:val="32"/>
          <w:lang w:val="en-US" w:eastAsia="zh-CN" w:bidi="ar-SA"/>
        </w:rPr>
        <w:t>（三）技术实力</w:t>
      </w:r>
    </w:p>
    <w:p w14:paraId="6C135E9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公司设立了国内领先的先进高分子材料研发平台、特种精细材料合成与应用平台、新能源电池材料开发与应用评价平台等，拥有“山东省企业技术中心”和“山东省特种精细化学品工程技术研究中心”，授权专利283项，主持、参与修/制订国家、行业和团体标准22项，先后承担国家科技部“863计划”和“国家重点研发计划”，以及多项省重大项目、省重大科技创新工程。</w:t>
      </w:r>
    </w:p>
    <w:p w14:paraId="10BD5BC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公司主要生产装置均采用国际一流的工艺技术，新投产项目及在建项目的新产品均采用自主研发或合作开发的关键核心技术。公司在国内率先开发出EVA光伏胶膜料，填补市场空白，新建的20万吨/年EVA装置投产后，将同时拥有全球领先的管式法和釜式法工艺，产品品类更加丰富，进一步巩固EVA产品的竞争优势；拥有完全自主知识产权的多项高纯气体提纯关键技术，已在1万吨/年电子特气项目成功应用；4万吨/年PLA装置采用自主开发的“淀粉—高光纯乳酸—高光纯丙交酯—聚乳酸”全产业链技术，技术壁垒高；5万吨/年PPC装置采用与中国科学院相关院所共同开发的全球领先的技术，填补了国内空白；4000吨/年XDI装置采用首创的非光气法特种异氰酸酯XDI绿色制备技术。XDI和PPC课题均被国家科学技术部列入国家重点研发计划。</w:t>
      </w:r>
    </w:p>
    <w:p w14:paraId="0C917B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Times New Roman Regular" w:hAnsi="Times New Roman Regular" w:eastAsia="黑体" w:cs="Times New Roman Regular"/>
          <w:color w:val="auto"/>
          <w:sz w:val="32"/>
          <w:szCs w:val="32"/>
          <w:lang w:val="en-US" w:eastAsia="zh-CN"/>
        </w:rPr>
      </w:pPr>
      <w:r>
        <w:rPr>
          <w:rFonts w:hint="eastAsia" w:ascii="Times New Roman Regular" w:hAnsi="Times New Roman Regular" w:eastAsia="黑体" w:cs="Times New Roman Regular"/>
          <w:color w:val="auto"/>
          <w:sz w:val="32"/>
          <w:szCs w:val="32"/>
          <w:lang w:val="en-US" w:eastAsia="zh-CN"/>
        </w:rPr>
        <w:t>二、合作需求主要集中在以下领域</w:t>
      </w:r>
    </w:p>
    <w:p w14:paraId="74444F9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一）原材料合作需求。一是优先寻求大型煤矿企业建立合作，以长期协议锁定资源，并通过铁路直达方式，保障公司原材料煤炭的稳定、高效供应；二是在公司周边建设大型煤炭储备基地，实现煤炭就近仓储、按需调配，进一步降低物流成本与供应风险；三是在公司周边布局电动货车充电桩网络，构建煤炭绿色运输体系，实现经营与环保效益双提升；四是公司原材料对甲醇、乙烯（POE投产后）、醋酸等有较大需求，以厂家直购为主，寻求有资质和能力的企业开展合作。</w:t>
      </w:r>
    </w:p>
    <w:p w14:paraId="5068AE8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二）产品市场合作需求。公司持续聚焦新材料发展方向，坚持绿色化、高端化、差异化、精细化发展理念，重点在新能源材料、生物材料、电子材料、其他特种材料等领域布局。公司相关产品：聚丙烯PP、乙烯-醋酸乙烯共聚物EVA、特种表面活性剂EOD、碳酸酯锂电溶剂EC、超高分子量聚乙烯UHMWPE、聚乳酸PLA、超高纯电子特气等产品已成功进入下游市场，得到行业认可，欢迎相关领域客户交流对接。</w:t>
      </w:r>
    </w:p>
    <w:p w14:paraId="6AC2F02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三）设备设施合作需求。公司现需引入设备预测性维护、设备腐蚀防护等先进技术，提高设备智能化运维水平，协同设备资源共享与供应链协作需求。同时，希望通过信息化技术与生产场景的深度融合，实现生产装置全流程智能化管控，构建数据驱动的设备预知性维护体系，最终达成减少非计划停车次数、降低运维成本、提升生产运行综合效率的核心目标。希望与信息化管理解决方案提供商携手合作，提升设备维护和生产运行水平，降低企业管理成本。</w:t>
      </w:r>
    </w:p>
    <w:p w14:paraId="76BAD20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四）技术合作需求。一是公司PPC产品属于新一代性能优异的“环境友好型”二氧化碳基生物可降解材料，以二氧化碳和环氧丙烷为原料，可有效利用二氧化碳降低碳排放，目前下游主要应用于农用地膜、膜袋包材等方面，希望与改性技术的厂家共同合作拓展产品应用领域，加速下游推广应用；二是公司期待在节能降碳、绿色技术应用等领域与专业企业深化合作、共探创新路径，寻求碳资源化利用技术研发与落地，打造适配多场景及现有产能的节能降碳方案，挖掘降碳优化空间，降低企业碳排放，共推绿色转型，助力“双碳”目标实现。</w:t>
      </w:r>
    </w:p>
    <w:p w14:paraId="42EAF28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Regular" w:hAnsi="Times New Roman Regular" w:eastAsia="仿宋_GB2312" w:cs="Times New Roman Regular"/>
          <w:b w:val="0"/>
          <w:bCs w:val="0"/>
          <w:color w:val="auto"/>
          <w:sz w:val="32"/>
          <w:szCs w:val="32"/>
        </w:rPr>
      </w:pPr>
      <w:r>
        <w:rPr>
          <w:rFonts w:hint="eastAsia" w:ascii="Times New Roman Regular" w:hAnsi="Times New Roman Regular" w:eastAsia="仿宋_GB2312" w:cs="Times New Roman Regular"/>
          <w:b w:val="0"/>
          <w:bCs w:val="0"/>
          <w:color w:val="auto"/>
          <w:sz w:val="32"/>
          <w:szCs w:val="32"/>
        </w:rPr>
        <w:t>（五）战略投资合作需求。公司战略投资布局的方向主要包括新能源材料、生物材料、电子材料、其他特种材料等领域，公司寻求相关领域新材料企业的投资合作机会，共同打造新材料产业集群。</w:t>
      </w:r>
    </w:p>
    <w:p w14:paraId="4CF3E7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62363-CF19-4AF6-8E4F-9548D1F9A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473126-089C-432C-9477-A1CFD582DDE9}"/>
  </w:font>
  <w:font w:name="Times New Roman Regular">
    <w:altName w:val="Times New Roman"/>
    <w:panose1 w:val="02020503050405090304"/>
    <w:charset w:val="00"/>
    <w:family w:val="auto"/>
    <w:pitch w:val="default"/>
    <w:sig w:usb0="00000000" w:usb1="00000000" w:usb2="00000001" w:usb3="00000000" w:csb0="400001BF" w:csb1="DFF70000"/>
    <w:embedRegular r:id="rId3" w:fontKey="{A2E6A330-DF34-409A-AC34-1F314632B482}"/>
  </w:font>
  <w:font w:name="方正小标宋简体">
    <w:panose1 w:val="02000000000000000000"/>
    <w:charset w:val="86"/>
    <w:family w:val="auto"/>
    <w:pitch w:val="default"/>
    <w:sig w:usb0="00000001" w:usb1="08000000" w:usb2="00000000" w:usb3="00000000" w:csb0="00040000" w:csb1="00000000"/>
    <w:embedRegular r:id="rId4" w:fontKey="{0FCD43D3-9298-48CF-901D-CA6F77B734EC}"/>
  </w:font>
  <w:font w:name="楷体_GB2312">
    <w:panose1 w:val="02010609030101010101"/>
    <w:charset w:val="86"/>
    <w:family w:val="auto"/>
    <w:pitch w:val="default"/>
    <w:sig w:usb0="00000001" w:usb1="080E0000" w:usb2="00000000" w:usb3="00000000" w:csb0="00040000" w:csb1="00000000"/>
    <w:embedRegular r:id="rId5" w:fontKey="{3669C0C2-60EF-42F9-AC37-55DEEC696579}"/>
  </w:font>
  <w:font w:name="仿宋_GB2312">
    <w:panose1 w:val="02010609030101010101"/>
    <w:charset w:val="86"/>
    <w:family w:val="modern"/>
    <w:pitch w:val="default"/>
    <w:sig w:usb0="00000001" w:usb1="080E0000" w:usb2="00000000" w:usb3="00000000" w:csb0="00040000" w:csb1="00000000"/>
    <w:embedRegular r:id="rId6" w:fontKey="{57ED4FA8-7D3B-431D-8B23-FA66CD8683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F0613"/>
    <w:rsid w:val="0ABF0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2025-10-21T03:28:00Z</dcterms:created>
  <dc:creator>Caroline</dc:creator>
  <cp:lastModifiedBy>Caroline</cp:lastModifiedBy>
  <dcterms:modified xsi:type="dcterms:W3CDTF">2025-10-21T03:28:54Z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089139CA08A14965AF6EC079A84FFE13_11</vt:lpwstr>
  </property>
  <property fmtid="{D5CDD505-2E9C-101B-9397-08002B2CF9AE}" pid="4" name="KSOTemplateDocerSaveRecord">
    <vt:lpwstr>eyJoZGlkIjoiZDg4ZmE3ZjMyMDNmNTk5MmYyNmU5NGUxYzhhMWI2ZWIiLCJ1c2VySWQiOiIyODQ5MTkzODUifQ==</vt:lpwstr>
  </property>
</Properties>
</file>