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山东省推动轮胎行业发展新质生产力</w:t>
      </w:r>
    </w:p>
    <w:p>
      <w:pPr>
        <w:keepNext w:val="0"/>
        <w:keepLines w:val="0"/>
        <w:pageBreakBefore w:val="0"/>
        <w:widowControl w:val="0"/>
        <w:tabs>
          <w:tab w:val="center" w:pos="4432"/>
          <w:tab w:val="left" w:pos="7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行动计划（2024-2027年）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落实省委省政府关于因地制宜发展新质生产力有关部署，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巩固提升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我省轮胎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竞争新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优势，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因地制宜发展新质生产力，促进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提质增效和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行动计划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tabs>
          <w:tab w:val="left" w:pos="3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关于发展新质生产力的重要论述和对山东视察的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讲话精神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，完整、准确、全面贯彻新发展理念，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坚持以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创新为引领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高端化、智能化、绿色化、集群化为方向，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协同推进科技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  <w:t>创新、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产业升级</w:t>
      </w:r>
      <w:r>
        <w:rPr>
          <w:rFonts w:hint="eastAsia" w:ascii="仿宋_GB2312" w:eastAsia="仿宋_GB2312" w:cs="仿宋_GB2312"/>
          <w:sz w:val="32"/>
          <w:szCs w:val="32"/>
          <w:shd w:val="clear"/>
          <w:lang w:val="en-US" w:eastAsia="zh-CN" w:bidi="ar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智转数改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绿色发展、品牌塑强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等重点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任务，大力发展新质生产力，实现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技术革命性突破、生产要素创新性配置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产业深度转型升级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全面构建现代化轮胎产业体系，促进轮胎行业绿色低碳高质量发展。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基本原则</w:t>
      </w:r>
    </w:p>
    <w:p>
      <w:pPr>
        <w:numPr>
          <w:ilvl w:val="-1"/>
          <w:numId w:val="0"/>
        </w:numPr>
        <w:snapToGrid/>
        <w:spacing w:afterLines="0" w:line="560" w:lineRule="exact"/>
        <w:ind w:firstLine="643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政府引导，市场主导。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充分发挥市场在资源配置中的决定性作用,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更好发挥政府政策引导和服务作用,以市场需求为导向,优化资源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大力培育优质企业，建立与行业新质生产力发展相适应的产业生态，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释放行业发展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新动能。</w:t>
      </w:r>
    </w:p>
    <w:p>
      <w:pPr>
        <w:numPr>
          <w:ilvl w:val="-1"/>
          <w:numId w:val="0"/>
        </w:numPr>
        <w:snapToGrid/>
        <w:spacing w:afterLines="0" w:line="560" w:lineRule="exact"/>
        <w:ind w:firstLine="643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创新驱动，高端引领。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以创新为动力，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强化高水平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科技自立自强，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关键核心技术攻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坚。加快高端项目建设，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聚焦产业提质、产品升级，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着力提升全要素生产率，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以高水平创新促进高质量发展。</w:t>
      </w:r>
    </w:p>
    <w:p>
      <w:pPr>
        <w:numPr>
          <w:ilvl w:val="-1"/>
          <w:numId w:val="0"/>
        </w:numPr>
        <w:snapToGrid/>
        <w:spacing w:afterLines="0"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开放融合，协同发展。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坚持高质量引进来、高水平走出去，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充分利用“两个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市场、两种资源”，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释放国内国际双循环资源联动效应，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bidi="ar-SA"/>
        </w:rPr>
        <w:t>强化产业链上下游协同发展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bidi="ar-SA"/>
        </w:rPr>
        <w:t>行业间耦合发展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产业优势互补与合作共赢，积极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 w:bidi="ar-SA"/>
        </w:rPr>
        <w:t>构建发展新格局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bidi="ar-SA"/>
        </w:rPr>
        <w:t>。</w:t>
      </w:r>
    </w:p>
    <w:p>
      <w:pPr>
        <w:numPr>
          <w:ilvl w:val="-1"/>
          <w:numId w:val="0"/>
        </w:numPr>
        <w:snapToGrid/>
        <w:spacing w:afterLines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安全环保，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绿色低碳。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统筹发展与安全，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产业链供应链安全稳定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提升本质安全水平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守牢安全底线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践行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绿色低碳发展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理念，健全绿色制造体系，推行清洁生产方式，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协同推进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降碳、减污、扩绿、增长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，培育发展绿色生产力。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轮胎行业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创新能力显著增强，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高端产品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占比不断提高，品牌影响力持续扩大，全要素生产力明显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高科技、高效能、高质量成为我省轮胎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行业新质生产力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显著特征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实现新突破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。力争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规模以上企业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研发经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费投入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平均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强度达到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%左右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新增1-2家国家技术创新示范企业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，国家级和省级企业技术中心达到30家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一批新技术、新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产品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新业态、新模式得到普遍应用，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在高端技术和关键共性技术等方面取得突破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数字化转型达到新水平。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行业数字化水平明显提高，企业数字化转型成效凸显，力争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规模以上企业数字化研发设计工具普及率超过92%、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数字化转型覆盖率达到98%以上，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国家级和省级智能工厂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达到20家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节能减排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新进展。行业整体能效水平明显提升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碳排放强度持续下降，力争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全钢、半钢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子午线轮胎企业平均能效水平达到国家标杆水平标准，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国家级和省级绿色工厂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达到20家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高质量发展迈上新台阶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行业总营业收入达到1800亿元，营业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收入过100亿元的企业达到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家，1家企业进入全球轮胎行业前10强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半岛和鲁北两大轮胎产业集群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产能占全省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比重达到80%以上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，营业收入分别达到600亿元和800亿元以上；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省级专精特新企业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国家级专精特新“小巨人”企业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等优质中小企业数量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达到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实施科技创新能力提升行动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强化行业研发能力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支持建设先进橡胶材料分析测试创新研发中心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促进高校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科研院所和企业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构建创新链、产业链、人才链一体化创新平台，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行业领先的产学研用协同发展体系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健全轮胎专业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人才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教育储备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支持行业重点用人单位用好泰山、齐鲁人才工程等政策，加大急需紧缺人才引育力度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充分发挥青岛科技大学橡胶轮胎学科专业、科技成果转化、创新人才培养等优势特色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</w:rPr>
        <w:t>创新链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</w:rPr>
        <w:t>产业链、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eastAsia="zh-CN"/>
        </w:rPr>
        <w:t>人才链布局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</w:rPr>
        <w:t>学科专业体系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橡胶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轮</w:t>
      </w:r>
      <w:r>
        <w:rPr>
          <w:rFonts w:hint="eastAsia" w:ascii="仿宋_GB2312" w:hAnsi="仿宋_GB2312" w:eastAsia="仿宋_GB2312" w:cs="仿宋_GB2312"/>
          <w:sz w:val="32"/>
          <w:szCs w:val="32"/>
        </w:rPr>
        <w:t>胎工程技术研究中心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轮胎先进装备与关键材料国家工程研究中心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橡塑材料与工程教育部重点实验室等科研机构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持续提升科技创新能力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打造原创性技术策源地。强化企业创新主体地位，加快企业研发机构建设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支持具备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条件的企业争创省级制造业创新中心和国家技术创新示范企业。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省教育厅、省科技厅、省委组织部、省发展改革委、省人力资源和社会保障厅、省工业和信息化厅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。各</w:t>
      </w:r>
      <w:r>
        <w:rPr>
          <w:rFonts w:hint="eastAsia" w:ascii="楷体_GB2312" w:hAnsi="楷体_GB2312" w:eastAsia="楷体_GB2312" w:cs="楷体_GB2312"/>
          <w:sz w:val="32"/>
          <w:szCs w:val="32"/>
        </w:rPr>
        <w:t>市政府履行主体责任，不再单独列出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下同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加快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技术革命性突破。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</w:rPr>
        <w:t>产业“卡脖子”关键核心技术、高校院所优势学科和专业两张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</w:rPr>
        <w:t>清单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持续实施重大科技创新攻关任务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鼓励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先进装备企业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行业应用软件、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工业操作系统、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信息化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装备研发与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替代，引导具备条件的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深入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稀土顺丁橡胶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溶聚丁苯橡胶、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铁系梳枝丁戊橡胶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环氧化异戊橡胶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液体聚丁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auto"/>
          <w:lang w:bidi="ar-SA"/>
        </w:rPr>
        <w:t>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  <w:lang w:bidi="ar-SA"/>
        </w:rPr>
        <w:t>橡胶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fill="auto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液体丁苯橡胶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</w:rPr>
        <w:t>等高性能合成橡胶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fill="auto"/>
          <w:lang w:eastAsia="zh-CN"/>
        </w:rPr>
        <w:t>以及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低VOC橡胶助剂、高分散无机纳米改性材料、新型环保防老剂（替代6PPD）</w:t>
      </w:r>
      <w:r>
        <w:rPr>
          <w:rFonts w:hint="eastAsia" w:asci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</w:rPr>
        <w:t>白炭黑、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  <w:lang w:val="en-US" w:eastAsia="zh-CN"/>
        </w:rPr>
        <w:t>石墨烯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</w:rPr>
        <w:t>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fill="auto"/>
          <w:lang w:val="en-US" w:eastAsia="zh-CN"/>
        </w:rPr>
        <w:t>生物基硅碳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轮胎用自修复橡胶、裂解炭黑改性和纤维改性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</w:rPr>
        <w:t>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fill="auto"/>
          <w:lang w:val="en-US" w:eastAsia="zh-CN"/>
        </w:rPr>
        <w:t>复合新材料制备品的研究与应用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fill="auto"/>
          <w:lang w:val="en-US" w:eastAsia="zh-CN"/>
        </w:rPr>
        <w:t>攻克一批“卡脖子”关键核心技术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打破国外技术壁垒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fill="auto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</w:rPr>
        <w:t>发布前沿技术应用推广目录，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</w:rPr>
        <w:t>成果对接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/>
        </w:rPr>
        <w:t>促进转化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落地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单位：省工业和信息化厅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省科技厅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扩大高端产品供给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</w:rPr>
        <w:t>高端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轮胎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</w:rPr>
        <w:t>“四个一批”项目库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支持企业加快高端轮胎项目建设，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调整优化产品结构,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大力发展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新一代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高性能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半钢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子午线轮胎（55 系列以下，滚动阻力系数≤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0N/kN、湿路面相对抓着系数≥1.25）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高性能全钢子午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线轮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胎（滚动阻力系数≤4.0，轮胎磨耗单耗≥20000km/mm，湿路面相对抓着系数≥1.25）、自修复安全轮胎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航空轮胎、巨型工程子午胎（49 吋以上）、农用子午胎及配套专用材料和设备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加快超耐磨、低滚阻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低噪音、轻量化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电动车及新能源汽车轮胎、非充气轮胎、宽基轮胎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、巨型工程胎等高端轮胎产品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生产研发和推广应用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，提升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国内新能源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、非公路轮胎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占有率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省工业和信息化厅、省发展改革委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实施产业提质增效升级行动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培育优质企业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鼓励企业间战略合作和跨行业、跨区域兼并重组，提高规模化、集约化经营水平，支持示范带动强、规模体量大、发展潜力足的轮胎生产企业争创省级制造业领航培育企业。加大行业优质企业培育力度，在科技研发、项目审批、生产经营等领域加强服务保障，引导企业做大做强做精，提升创新能力和专业化水平，打造一批具有行业影响力的创新型领军企业和专精特新企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省工业和信息化厅牵头，省科技厅、省发展改革委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推动集群化发展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坚持集聚集约、区域联动、错位发展，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统筹区域规划布局，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完善集群协同创新网络，支持半岛、鲁北两大轮胎产业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bidi="ar"/>
        </w:rPr>
        <w:t>集群创建国家级集群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建设国际一流高端橡胶轮胎产业基地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青岛、烟台、威海为主的半岛轮胎产业集群，发挥高端轮胎制造企业集聚优势，以技术自主化、制造智能化、品牌国际化为目标，坚持标准引领、创新驱动，全面提升产业链供应链创新链的韧性和安全水平。东营、潍坊为核心的鲁北轮胎产业集群，瞄准价值链提升，以高端项目为牵引，不断优化产品结构，着力提高产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知名度、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附加值与竞争力，实现集群优质化发展。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省发展改革委、省工业和信息化厅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shd w:val="clear" w:fill="auto"/>
          <w:lang w:val="en-US" w:eastAsia="zh-CN" w:bidi="ar"/>
        </w:rPr>
        <w:t>促进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auto"/>
          <w:lang w:val="en-US" w:eastAsia="zh-CN" w:bidi="ar"/>
        </w:rPr>
        <w:t>产业链融合。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fill="auto"/>
          <w:lang w:val="en-US" w:eastAsia="zh-CN" w:bidi="ar"/>
        </w:rPr>
        <w:t>实施融链固链行动，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auto"/>
          <w:lang w:bidi="ar"/>
        </w:rPr>
        <w:t>谋划落地一批补链强链重点项目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 w:bidi="ar"/>
        </w:rPr>
        <w:t>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上下游企业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协同融合发展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推动新材料产业扩容倍增，支持产业链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上游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炼化、原材料等有关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企业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加快新型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合成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橡胶产业化进程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研发生产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符合国际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环保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标准的新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橡胶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助剂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开发新型轮胎骨架材料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高端轮胎模具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加快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bidi="ar"/>
        </w:rPr>
        <w:t>形成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全省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 w:bidi="ar"/>
        </w:rPr>
        <w:t>轮胎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原材料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 w:bidi="ar"/>
        </w:rPr>
        <w:t>供应链一站式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配套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 w:bidi="ar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产业链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 w:bidi="ar"/>
        </w:rPr>
        <w:t>一体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化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创新体系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支持省内外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汽车和装备企业与轮胎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企业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开展战略合作，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提高省内轮胎配套率。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举办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山东省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轮胎行业产业链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科技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创新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高端论坛，引导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省内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头部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材料生产和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汽车装备企业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沟通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合作，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信息、技术、成果共享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eastAsia="zh-CN" w:bidi="ar"/>
        </w:rPr>
        <w:t>2027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年，培育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bidi="ar"/>
        </w:rPr>
        <w:t>家以上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集成能力和带动作用强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“链主”企业。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保障供应链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天然橡胶</w:t>
      </w:r>
      <w:r>
        <w:rPr>
          <w:rFonts w:hint="eastAsia" w:ascii="仿宋_GB2312" w:hAnsi="仿宋_GB2312" w:eastAsia="仿宋_GB2312" w:cs="仿宋_GB2312"/>
          <w:sz w:val="32"/>
          <w:szCs w:val="32"/>
        </w:rPr>
        <w:t>供给渠道，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适度扩大储备规模，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推动国际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橡胶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资源开发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协作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探索建立战略性资源评价及预收储机制，加快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构建自主可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控、安全高效的产业链</w:t>
      </w:r>
      <w:r>
        <w:rPr>
          <w:rFonts w:hint="eastAsia" w:ascii="仿宋_GB2312" w:hAnsi="仿宋_GB2312" w:eastAsia="仿宋_GB2312" w:cs="仿宋_GB2312"/>
          <w:sz w:val="32"/>
          <w:szCs w:val="32"/>
        </w:rPr>
        <w:t>供给体系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。</w:t>
      </w:r>
      <w:r>
        <w:rPr>
          <w:rFonts w:hint="eastAsia" w:ascii="仿宋_GB2312" w:eastAsia="仿宋_GB2312" w:cs="仿宋_GB2312"/>
          <w:i w:val="0"/>
          <w:caps w:val="0"/>
          <w:spacing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产业链供应链关键节点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安全防护，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支持行业协会、重点企业搭建产业链供需对接平台，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通过物联网、数字资产、区块链等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提升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原材料保供对接服务能力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省工业和信息化厅、省商务厅、省发展改革委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napToGrid/>
        <w:spacing w:afterLines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实施数智协同转型提标行动</w:t>
      </w:r>
    </w:p>
    <w:p>
      <w:pPr>
        <w:numPr>
          <w:ilvl w:val="-1"/>
          <w:numId w:val="0"/>
        </w:numPr>
        <w:adjustRightInd/>
        <w:snapToGrid/>
        <w:spacing w:afterLines="0" w:line="56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推动数字化转型。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轮胎行业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国家智能制造示范工厂带动作用，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引领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数字技术集成应用创新，</w:t>
      </w:r>
      <w:r>
        <w:rPr>
          <w:rFonts w:hint="eastAsia" w:ascii="仿宋_GB2312" w:eastAsia="仿宋_GB2312" w:cs="仿宋_GB2312"/>
          <w:sz w:val="32"/>
          <w:szCs w:val="32"/>
        </w:rPr>
        <w:t>开展多场景、多层次试点示范，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引导企业建立基于数字化系统的“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1+N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模式工业互联网平台，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推广使用轮胎射频识别技术（RFID）、轮胎生产制造执行系统（MES）、智能安全物联网</w:t>
      </w:r>
      <w:r>
        <w:rPr>
          <w:rFonts w:hint="eastAsia" w:ascii="仿宋_GB2312" w:hAnsi="仿宋_GB2312" w:eastAsia="仿宋_GB2312" w:cs="仿宋_GB2312"/>
          <w:sz w:val="32"/>
          <w:szCs w:val="32"/>
        </w:rPr>
        <w:t>、轮胎生产研发设计数字化管理系统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等信息技术，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推进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数字技术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在经营管理、研发设计、生产制造、仓储物流、销售服务等流程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优化升级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广泛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应用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打造一批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数据驱动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模型赋能、算力支撑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型“晨星工厂”。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auto"/>
          <w:lang w:val="en-US" w:eastAsia="zh-CN"/>
        </w:rPr>
        <w:t>组织企业参加数字化转型推介、工业互联网推广等“工赋山东”活动，推动企业加快数字化转型。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省工业和信息化厅、省科技厅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加快智能化改造。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筛选一批优质服务商，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评估诊断和服务体系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推广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“顾问+雇员”方式，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帮助中小</w:t>
      </w:r>
      <w:r>
        <w:rPr>
          <w:rFonts w:hint="eastAsia" w:ascii="仿宋_GB2312" w:eastAsia="仿宋_GB2312" w:cs="仿宋_GB2312"/>
          <w:sz w:val="32"/>
          <w:szCs w:val="32"/>
        </w:rPr>
        <w:t>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制定智改</w:t>
      </w:r>
      <w:r>
        <w:rPr>
          <w:rFonts w:hint="eastAsia" w:ascii="仿宋_GB2312" w:eastAsia="仿宋_GB2312" w:cs="仿宋_GB2312"/>
          <w:sz w:val="32"/>
          <w:szCs w:val="32"/>
        </w:rPr>
        <w:t>方案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eastAsia="zh-CN"/>
        </w:rPr>
        <w:t>。鼓励中小企业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val="en-US" w:eastAsia="zh-CN"/>
        </w:rPr>
        <w:t>实施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eastAsia="zh-CN"/>
        </w:rPr>
        <w:t>老旧设备更换，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推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进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装备换新、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生产换线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机器换人，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</w:rPr>
        <w:t>湿法炼胶、化学炼胶工艺设备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、轮胎智能化成型设备、高能效数字硫化装备、高精度物料输送系统、轮胎成品检测装备等生产设备改造升级，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auto"/>
        </w:rPr>
        <w:t>提升智能制造能力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，推动行业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智能化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水平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跨进国内先进行列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推广智能化改造标杆企业先进经验做法，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示范引领企业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实施智能化改造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省工业和信息化厅、省发展改革委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napToGrid/>
        <w:spacing w:afterLines="0" w:line="56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.促进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全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产业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链转型。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加快工业互联网规模化应用，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引导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auto"/>
        </w:rPr>
        <w:t>“链主”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auto"/>
          <w:lang w:val="en-US" w:eastAsia="zh-CN" w:bidi="ar"/>
        </w:rPr>
        <w:t>企业与互联网企业共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auto"/>
          <w:lang w:val="en-US" w:eastAsia="zh-CN" w:bidi="ar"/>
        </w:rPr>
        <w:t>同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构建高效协同、安全稳定、自主可控的工业互联网平台生态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  <w:lang w:eastAsia="zh-CN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auto"/>
          <w:lang w:val="en-US" w:eastAsia="zh-CN" w:bidi="ar"/>
        </w:rPr>
        <w:t>鼓励“橡链云”、“胎联网”、“智慧营销”等平台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将业务流程与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auto"/>
        </w:rPr>
        <w:t>管理体系向上下游延伸，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构建设备互联、数据驱动、软件定义、平台支撑的技术底座，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auto"/>
        </w:rPr>
        <w:t>沿链带动中小企业开展网络化改造和数字化应用。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u w:val="none"/>
          <w:shd w:val="clear" w:fill="auto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auto"/>
        </w:rPr>
        <w:t>国有平台公司、产业集群头部企业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auto"/>
          <w:lang w:val="en-US" w:eastAsia="zh-CN"/>
        </w:rPr>
        <w:t>等单位，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以国家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  <w:lang w:val="en-US" w:eastAsia="zh-CN"/>
        </w:rPr>
        <w:t>工业互联网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大数据中心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  <w:lang w:val="en-US" w:eastAsia="zh-CN"/>
        </w:rPr>
        <w:t>体系</w:t>
      </w:r>
      <w:r>
        <w:rPr>
          <w:rFonts w:hint="eastAsia" w:ascii="仿宋_GB2312" w:eastAsia="仿宋_GB2312" w:cs="仿宋_GB2312"/>
          <w:color w:val="333333"/>
          <w:sz w:val="32"/>
          <w:szCs w:val="32"/>
          <w:u w:val="none"/>
          <w:shd w:val="clear" w:fill="auto"/>
        </w:rPr>
        <w:t>“山东工业云”为基础，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auto"/>
          <w:lang w:val="en-US" w:eastAsia="zh-CN"/>
        </w:rPr>
        <w:t>建设轮胎行业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auto"/>
        </w:rPr>
        <w:t>“产业大脑”。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省工业和信息化厅牵头，省发展改革委、省科技厅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napToGrid/>
        <w:spacing w:afterLines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（四）实施绿色低碳循环发展行动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加快能效水平提升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适时调整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引导各地持续优化产能结构，合理控制产能规模，依法依规建设高端项目，加大落后产能淘汰力度，稳步提高绿色产能比例。落实工业领域碳达峰工作方案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绿色低碳科技创新工程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行业全流程清洁化、循环化、低碳化改造，大力开发、推广节能高效技术和产品，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强化企业节能管理能力，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推进重点用能设备节能增效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不断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提升综合能效水平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省发展改革委、省工业和信息化厅、省生态环境厅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.</w:t>
      </w:r>
      <w:r>
        <w:rPr>
          <w:rFonts w:hint="eastAsia" w:asci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深入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推进节能减排。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《山东省轮胎行业节能技术推广方案》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鼓励企业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-SA"/>
        </w:rPr>
        <w:t>运用先进节能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-SA"/>
        </w:rPr>
        <w:t>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-SA"/>
        </w:rPr>
        <w:t>碳技术，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使用新型隔热板和模套保温节能材料，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应用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液相混炼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EPS(高能电子束辐照）、氮气硫化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半部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辐射预硫化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、新型电磁加热硫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化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串联式密炼机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连续混炼机、短纤维定向取向成型装备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高压永磁同步电机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等工艺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采取清洁运输方式，积极争创环保绩效A级，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促进行业绿色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低碳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推广共享密炼中心模式，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鼓励在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广饶、西海岸新区等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集聚区建设密炼中心，降低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能耗和排放。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（省工业和信息化厅、省生态环境厅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构建绿色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制造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体系。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强化产品全生命周期绿色管理，修订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《山东省绿色轮胎技术规范》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引导企业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开发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应用可持续材料及生物基材料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鼓励绿色电力交易，广泛应用绿色能源，生产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绿色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建设绿色工厂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推进资源综合利用，制定废旧轮胎回收利用地方标准，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鼓励零售网点推广实行轮胎以旧换新业务，支持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重点企业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建立国内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废旧</w:t>
      </w:r>
      <w:r>
        <w:rPr>
          <w:rFonts w:hint="eastAsia" w:ascii="仿宋_GB2312" w:hAnsi="仿宋_GB2312" w:eastAsia="仿宋_GB2312" w:cs="仿宋_GB2312"/>
          <w:sz w:val="32"/>
          <w:szCs w:val="32"/>
        </w:rPr>
        <w:t>轮胎回收网络,推广废旧轮胎绿色裂解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和炭黑再生、静音棉再生、生物基材料提取与合成技术,加快形成规模化的旧轮胎翻新再制造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废轮胎生产再生橡胶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硫化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橡胶粉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废轮胎热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裂解</w:t>
      </w:r>
      <w:r>
        <w:rPr>
          <w:rFonts w:hint="eastAsia" w:ascii="仿宋_GB2312" w:hAnsi="仿宋_GB2312" w:eastAsia="仿宋_GB2312" w:cs="仿宋_GB2312"/>
          <w:sz w:val="32"/>
          <w:szCs w:val="32"/>
        </w:rPr>
        <w:t>循环利用产业链。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（省工业和信息化厅牵头，省发展改革委、省生态环境厅、省市场监管局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实施“山东轮胎”品牌力提升行动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建立健全标准体系。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加强标准引领和质量支撑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，完善企业技术改造标准，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落实标准能力提升奖励政策，健全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高端、绿色轮胎系列标准体系。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发挥省级技术标准创新平台作用，对标国际标准，加快我省轮胎行业先进技术转化为标准规范。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支持省内头部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主导或参与行业标准、地方标准、国家标准、国际标准制修订。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鼓励行业协会等社会团体，围绕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市场需求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研究制定先进团体标准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智能轮胎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非充气轮胎等新产品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和自修复静音棉等先进技术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标准制订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加强宣传贯彻，开展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国际、国内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标准贯标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（省工业和信息化厅、省市场监管局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持续实施品牌战略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“三品”战略，大力实施品牌创新，借助新能源汽车“弯道超车”抢占配套市场，形成品牌突破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具有国际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轮胎</w:t>
      </w:r>
      <w:r>
        <w:rPr>
          <w:rFonts w:hint="eastAsia" w:ascii="仿宋_GB2312" w:hAnsi="仿宋_GB2312" w:eastAsia="仿宋_GB2312" w:cs="仿宋_GB2312"/>
          <w:sz w:val="32"/>
          <w:szCs w:val="32"/>
        </w:rPr>
        <w:t>”品牌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鼓励省内有实力的优质企业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与跨国轮胎企业开展并购、合资合作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，提升品牌国际市场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竞争</w:t>
      </w:r>
      <w:r>
        <w:rPr>
          <w:rFonts w:hint="eastAsia" w:ascii="仿宋_GB2312" w:hAnsi="仿宋_GB2312" w:eastAsia="仿宋_GB2312" w:cs="仿宋_GB2312"/>
          <w:sz w:val="32"/>
          <w:szCs w:val="32"/>
        </w:rPr>
        <w:t>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eastAsia="仿宋_GB2312" w:cs="仿宋_GB2312"/>
          <w:sz w:val="32"/>
          <w:szCs w:val="32"/>
        </w:rPr>
        <w:t>开展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轮胎产品、技术</w:t>
      </w:r>
      <w:r>
        <w:rPr>
          <w:rFonts w:hint="eastAsia" w:ascii="仿宋_GB2312" w:eastAsia="仿宋_GB2312" w:cs="仿宋_GB2312"/>
          <w:sz w:val="32"/>
          <w:szCs w:val="32"/>
        </w:rPr>
        <w:t>供需对接、场景发布、宣贯推介、交流观摩等系列活动，高标准办好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青岛国际轮胎暨橡胶技术展览会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、中国（广饶）国际橡胶轮胎暨汽车配件展览会等高端展会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扩大山东轮胎国际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影响力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（省工业和信息化厅牵头，省发展改革委、省商务厅、省市场监管局、省贸促会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>
      <w:pPr>
        <w:spacing w:afterLines="0" w:line="5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大力开拓国际市场。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围绕做强总部经济，做大海外市场，支持优质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shd w:val="clear" w:fill="auto"/>
          <w:lang w:val="en-US" w:eastAsia="zh-CN"/>
        </w:rPr>
        <w:t>企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积极向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海外拓展业务，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就原料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就市场布局生产基地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加快轮胎行业国际化布局，实现资源优化配置和互利共赢。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国际市场需求及发展趋势研究，开发满足国际标准及市场需求新产品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扩大出口规模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抓住启运港退税试点契机，充分发挥山东港口优势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出口信用保险作用，支持企业积极融入“一带一路”战略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国际贸易、投资、技术交流等机制，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鼓励企业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依托海外仓、境外经贸合作区建立分支机构、零售网点，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开拓新兴市场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（省商务厅牵头，省发展改革委、省工业和信息化厅、青岛海关、济南海关、省贸促会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>
      <w:pPr>
        <w:spacing w:afterLines="0" w:line="560" w:lineRule="exact"/>
        <w:ind w:firstLine="643" w:firstLineChars="200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.积极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应对贸易摩擦。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加快贸易摩擦应对机制建设，制定贸易调整援助办法，健全预警和法律服务体系，用</w:t>
      </w:r>
      <w:r>
        <w:rPr>
          <w:rFonts w:hint="eastAsia" w:asci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省国际贸易摩擦法律服务团等“</w:t>
      </w:r>
      <w:r>
        <w:rPr>
          <w:rFonts w:hint="eastAsia" w:ascii="仿宋_GB2312" w:eastAsia="仿宋_GB2312" w:cs="仿宋_GB2312" w:hAnsiTheme="minorHAnsi"/>
          <w:sz w:val="32"/>
          <w:szCs w:val="32"/>
          <w:lang w:val="en-US" w:eastAsia="zh-CN"/>
        </w:rPr>
        <w:t>贸易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救济”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积极应对</w:t>
      </w:r>
      <w:r>
        <w:rPr>
          <w:rFonts w:hint="eastAsia" w:ascii="仿宋_GB2312" w:eastAsia="仿宋_GB2312" w:cs="仿宋_GB2312" w:hAnsiTheme="minorHAnsi"/>
          <w:sz w:val="32"/>
          <w:szCs w:val="32"/>
          <w:lang w:val="en-US" w:eastAsia="zh-CN"/>
        </w:rPr>
        <w:t>贸易摩擦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充分发挥省橡胶国际贸易摩擦工作站作用，健全重点企业联系清单，加强法律培训、业务咨询等工作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做好贸易“双反”案件应诉</w:t>
      </w:r>
      <w:r>
        <w:rPr>
          <w:rFonts w:hint="eastAsia" w:asci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降低</w:t>
      </w:r>
      <w:r>
        <w:rPr>
          <w:rFonts w:hint="eastAsia" w:ascii="仿宋_GB2312" w:eastAsia="仿宋_GB2312" w:cs="仿宋_GB2312" w:hAnsiTheme="minorHAnsi"/>
          <w:sz w:val="32"/>
          <w:szCs w:val="32"/>
        </w:rPr>
        <w:t>贸易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摩擦损失</w:t>
      </w:r>
      <w:r>
        <w:rPr>
          <w:rFonts w:hint="eastAsia" w:ascii="仿宋_GB2312" w:eastAsia="仿宋_GB2312" w:cs="仿宋_GB2312" w:hAnsiTheme="minorHAnsi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省商务厅牵头，省工业和信息化厅、省贸促会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保障措施</w:t>
      </w:r>
    </w:p>
    <w:p>
      <w:pPr>
        <w:snapToGrid w:val="0"/>
        <w:spacing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省有关部门要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健全横向协同、上下联动工作机制，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</w:rPr>
        <w:t>形成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重大事项集中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</w:rPr>
        <w:t>会商、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行业运行实时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</w:rPr>
        <w:t>监测、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重点工作定期调度制度</w:t>
      </w:r>
      <w:r>
        <w:rPr>
          <w:rFonts w:hint="eastAsia" w:ascii="仿宋_GB2312" w:eastAsia="仿宋_GB2312" w:cs="仿宋_GB2312"/>
          <w:snapToGrid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分工负责、齐抓共管、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协同推进的工作格局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要根据资源禀赋和产业基础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，研究制定具体推进措施，认真谋划、加力推进，确保各项工作落地见效。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行业协会要充分发挥桥梁纽带作用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</w:rPr>
        <w:t>，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积极参与行业发展规划、政策、标准制定等工作，</w:t>
      </w:r>
      <w:r>
        <w:rPr>
          <w:rFonts w:hint="eastAsia" w:asci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为行业新质生产力培育和发展</w:t>
      </w:r>
      <w:bookmarkStart w:id="0" w:name="_GoBack"/>
      <w:bookmarkEnd w:id="0"/>
      <w:r>
        <w:rPr>
          <w:rFonts w:hint="eastAsia" w:asci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做好全方位服务</w:t>
      </w:r>
      <w:r>
        <w:rPr>
          <w:rFonts w:hint="eastAsia" w:ascii="仿宋_GB2312" w:eastAsia="仿宋_GB2312" w:cs="仿宋_GB2312"/>
          <w:snapToGrid/>
          <w:kern w:val="0"/>
          <w:sz w:val="32"/>
          <w:szCs w:val="32"/>
          <w:lang w:val="en-US" w:eastAsia="zh-CN"/>
        </w:rPr>
        <w:t>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省工业和信息化厅牵头，相关部门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（二）强化服务保障。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加强财政金融联动促进科技成果转化，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对技术攻关产出的重大成果，符合条件的认定为首台（套）装备、首批次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材料、首版次软件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按规定给予保费补贴支持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积极开展企业</w:t>
      </w:r>
      <w:r>
        <w:rPr>
          <w:rFonts w:hint="eastAsia" w:ascii="仿宋_GB2312" w:eastAsia="仿宋_GB2312" w:cs="仿宋_GB2312"/>
          <w:color w:val="222222"/>
          <w:sz w:val="32"/>
          <w:szCs w:val="32"/>
          <w:shd w:val="clear" w:fill="auto"/>
          <w:lang w:val="en-US" w:eastAsia="zh-CN"/>
        </w:rPr>
        <w:t>融资促进行动，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支持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轮胎企业在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技术创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新、绿色低碳、数字转型等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领域加大投资力度，实现突破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统筹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推进高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项目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 w:bidi="ar"/>
        </w:rPr>
        <w:t>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支持在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半岛、鲁北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两大产业集群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集中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布局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高端轮胎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项目，提高产业集聚发展水平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 w:bidi="ar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有关市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 w:bidi="ar"/>
        </w:rPr>
        <w:t>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做好资源要素保障和发展培育，指导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 w:bidi="ar"/>
        </w:rPr>
        <w:t>企业协同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bidi="ar"/>
        </w:rPr>
        <w:t>开展合作交流、技术攻关、项目布局、人才引进等工作。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省工业和信息化厅牵头，省财政厅、省发展改革委、中国人民银行山东省分行、山东金融监管局、青岛金融监管局</w:t>
      </w:r>
      <w:r>
        <w:rPr>
          <w:rFonts w:hint="eastAsia" w:ascii="楷体_GB2312" w:hAnsi="Times New Roman" w:eastAsia="楷体_GB2312" w:cs="Times New Roman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（三）营造良好氛围。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围绕技术创新、转型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市场开拓、品牌建设、产业政策等，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解读和专题培训，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组织编写并适时发布轮胎行业新质生产力发展年度报告，精选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创新创业典型案例进行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宣介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营造良性竞争、协同共进良好氛围。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切实加强行业协会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等专业机构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发挥好轮胎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行业专家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智库作用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，弘扬企业家精神和工匠精神，为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培育和发展新质生产力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智力支持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和强大动力。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省工业和信息化厅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牵头，相关部门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shd w:val="clear"/>
        </w:rPr>
        <w:t>按职责分工负责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20" w:h="16840"/>
      <w:pgMar w:top="1701" w:right="1587" w:bottom="1417" w:left="1587" w:header="0" w:footer="85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6AA21-7379-4081-A207-0B38719755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D746B73-9CD4-4BE6-B60C-36E2AE495D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2F0B2D-0A50-43A8-BD97-C23EEC23F6F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6A4DF0F-95CC-4D90-B7C8-7F3C5264D9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8CD0EAF-A94A-4196-BDB8-22310F06E3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</w:rPr>
    </w:pPr>
    <w:r>
      <w:rPr>
        <w:rFonts w:hAnsi="Calibri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1335" cy="19748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Ansi="Calibri"/>
                              <w:sz w:val="24"/>
                            </w:rPr>
                          </w:pPr>
                          <w:r>
                            <w:rPr>
                              <w:rFonts w:hAns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Ansi="Calibri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Ansi="Calibri"/>
                              <w:sz w:val="24"/>
                            </w:rPr>
                            <w:t>1</w:t>
                          </w:r>
                          <w:r>
                            <w:rPr>
                              <w:rFonts w:hAns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5.55pt;width:41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sCrGbRAAAAAwEAAA8A&#10;AAAAAAAAAQAgAAAAIgAAAGRycy9kb3ducmV2LnhtbFBLAQIUABQAAAAIAIdO4kBOaN1D5QEAAKcD&#10;AAAOAAAAAAAAAAEAIAAAACA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Ansi="Calibri"/>
                        <w:sz w:val="24"/>
                      </w:rPr>
                    </w:pPr>
                    <w:r>
                      <w:rPr>
                        <w:rFonts w:hAnsi="Calibri"/>
                        <w:sz w:val="24"/>
                      </w:rPr>
                      <w:fldChar w:fldCharType="begin"/>
                    </w:r>
                    <w:r>
                      <w:rPr>
                        <w:rFonts w:hAnsi="Calibri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Ansi="Calibri"/>
                        <w:sz w:val="24"/>
                      </w:rPr>
                      <w:fldChar w:fldCharType="separate"/>
                    </w:r>
                    <w:r>
                      <w:rPr>
                        <w:rFonts w:hAnsi="Calibri"/>
                        <w:sz w:val="24"/>
                      </w:rPr>
                      <w:t>1</w:t>
                    </w:r>
                    <w:r>
                      <w:rPr>
                        <w:rFonts w:hAnsi="Calibri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hAnsi="Calibri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355DBD"/>
    <w:multiLevelType w:val="singleLevel"/>
    <w:tmpl w:val="CB355DB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jE3YTAxOTI1ODdlNzU2NTM1MDg0YzRiZTU1MWQifQ=="/>
  </w:docVars>
  <w:rsids>
    <w:rsidRoot w:val="00172A27"/>
    <w:rsid w:val="00337586"/>
    <w:rsid w:val="005D2854"/>
    <w:rsid w:val="00692FA7"/>
    <w:rsid w:val="00E84814"/>
    <w:rsid w:val="01160A46"/>
    <w:rsid w:val="01213882"/>
    <w:rsid w:val="0153214F"/>
    <w:rsid w:val="01AA7D1B"/>
    <w:rsid w:val="01D60B10"/>
    <w:rsid w:val="020F0FB0"/>
    <w:rsid w:val="026C4FD1"/>
    <w:rsid w:val="029B6ADA"/>
    <w:rsid w:val="02C646E1"/>
    <w:rsid w:val="02F456F2"/>
    <w:rsid w:val="02FA082F"/>
    <w:rsid w:val="03195159"/>
    <w:rsid w:val="031E08A6"/>
    <w:rsid w:val="032655F7"/>
    <w:rsid w:val="03B35CEE"/>
    <w:rsid w:val="03D13390"/>
    <w:rsid w:val="03E80687"/>
    <w:rsid w:val="03F92894"/>
    <w:rsid w:val="04BD38C2"/>
    <w:rsid w:val="04CC4C57"/>
    <w:rsid w:val="04E35A1E"/>
    <w:rsid w:val="05015B58"/>
    <w:rsid w:val="056703FD"/>
    <w:rsid w:val="05CB200E"/>
    <w:rsid w:val="065F7EAC"/>
    <w:rsid w:val="06A6308F"/>
    <w:rsid w:val="06B7199F"/>
    <w:rsid w:val="06C81E80"/>
    <w:rsid w:val="070103DE"/>
    <w:rsid w:val="07134890"/>
    <w:rsid w:val="07591FC8"/>
    <w:rsid w:val="076B1CFB"/>
    <w:rsid w:val="07ED584C"/>
    <w:rsid w:val="083E4DA1"/>
    <w:rsid w:val="084B7D7D"/>
    <w:rsid w:val="0869623A"/>
    <w:rsid w:val="08C416C3"/>
    <w:rsid w:val="08C6636C"/>
    <w:rsid w:val="09F00295"/>
    <w:rsid w:val="0A434869"/>
    <w:rsid w:val="0A4B1B08"/>
    <w:rsid w:val="0A8C4462"/>
    <w:rsid w:val="0ACE6829"/>
    <w:rsid w:val="0B096204"/>
    <w:rsid w:val="0B650F11"/>
    <w:rsid w:val="0B754EF6"/>
    <w:rsid w:val="0B7A075E"/>
    <w:rsid w:val="0BC85558"/>
    <w:rsid w:val="0BD86CD3"/>
    <w:rsid w:val="0C103C0D"/>
    <w:rsid w:val="0C10555B"/>
    <w:rsid w:val="0C1E558E"/>
    <w:rsid w:val="0C2801BA"/>
    <w:rsid w:val="0C57284E"/>
    <w:rsid w:val="0CCD3DF9"/>
    <w:rsid w:val="0D244E26"/>
    <w:rsid w:val="0D5A0848"/>
    <w:rsid w:val="0D7A2C98"/>
    <w:rsid w:val="0D865199"/>
    <w:rsid w:val="0DC42165"/>
    <w:rsid w:val="0E0B38F0"/>
    <w:rsid w:val="0E36460D"/>
    <w:rsid w:val="0E664FCA"/>
    <w:rsid w:val="0E7616B1"/>
    <w:rsid w:val="0E8A640C"/>
    <w:rsid w:val="0EB043F3"/>
    <w:rsid w:val="0F1D38DB"/>
    <w:rsid w:val="0F3B0205"/>
    <w:rsid w:val="0F59068B"/>
    <w:rsid w:val="0F8B2F3A"/>
    <w:rsid w:val="0F96368D"/>
    <w:rsid w:val="0FB91578"/>
    <w:rsid w:val="0FD14818"/>
    <w:rsid w:val="0FE8038D"/>
    <w:rsid w:val="10120F66"/>
    <w:rsid w:val="103A3C15"/>
    <w:rsid w:val="10E30B54"/>
    <w:rsid w:val="10F20D97"/>
    <w:rsid w:val="11082369"/>
    <w:rsid w:val="1125116C"/>
    <w:rsid w:val="113413B0"/>
    <w:rsid w:val="114A0BD3"/>
    <w:rsid w:val="117508A3"/>
    <w:rsid w:val="118E6D12"/>
    <w:rsid w:val="11F748B7"/>
    <w:rsid w:val="120B3EBE"/>
    <w:rsid w:val="12AA7B7B"/>
    <w:rsid w:val="12B74046"/>
    <w:rsid w:val="12BC165D"/>
    <w:rsid w:val="12C235D4"/>
    <w:rsid w:val="13182D37"/>
    <w:rsid w:val="1333549D"/>
    <w:rsid w:val="13525B1D"/>
    <w:rsid w:val="13912AE9"/>
    <w:rsid w:val="13A24CF6"/>
    <w:rsid w:val="13BD568C"/>
    <w:rsid w:val="13BF7656"/>
    <w:rsid w:val="13C40F69"/>
    <w:rsid w:val="14495172"/>
    <w:rsid w:val="144C28D0"/>
    <w:rsid w:val="144D2D5B"/>
    <w:rsid w:val="14B46A8F"/>
    <w:rsid w:val="14DD44AF"/>
    <w:rsid w:val="14E36B24"/>
    <w:rsid w:val="14EF3F6B"/>
    <w:rsid w:val="15086DDB"/>
    <w:rsid w:val="15213E43"/>
    <w:rsid w:val="155E6416"/>
    <w:rsid w:val="157224A6"/>
    <w:rsid w:val="158E5532"/>
    <w:rsid w:val="159863B1"/>
    <w:rsid w:val="15A80BED"/>
    <w:rsid w:val="15EC4007"/>
    <w:rsid w:val="16892A20"/>
    <w:rsid w:val="169052DA"/>
    <w:rsid w:val="16B234A2"/>
    <w:rsid w:val="16D200D1"/>
    <w:rsid w:val="16ED44DA"/>
    <w:rsid w:val="178169D1"/>
    <w:rsid w:val="17BB1EE3"/>
    <w:rsid w:val="17DF3ABC"/>
    <w:rsid w:val="182146E0"/>
    <w:rsid w:val="183150FC"/>
    <w:rsid w:val="1844637C"/>
    <w:rsid w:val="18736FD2"/>
    <w:rsid w:val="18A62B93"/>
    <w:rsid w:val="18AE7C99"/>
    <w:rsid w:val="18C474BD"/>
    <w:rsid w:val="18C64FE3"/>
    <w:rsid w:val="18F94A09"/>
    <w:rsid w:val="19D13C3F"/>
    <w:rsid w:val="1A0A0EFF"/>
    <w:rsid w:val="1A24757B"/>
    <w:rsid w:val="1A7B1DFD"/>
    <w:rsid w:val="1A8B7DB2"/>
    <w:rsid w:val="1A930EF5"/>
    <w:rsid w:val="1AD80FFE"/>
    <w:rsid w:val="1AD96D25"/>
    <w:rsid w:val="1B1C713C"/>
    <w:rsid w:val="1B302BE8"/>
    <w:rsid w:val="1B744165"/>
    <w:rsid w:val="1B860A5A"/>
    <w:rsid w:val="1BD25864"/>
    <w:rsid w:val="1C200AF6"/>
    <w:rsid w:val="1C2F2E9F"/>
    <w:rsid w:val="1C4F52EF"/>
    <w:rsid w:val="1C694603"/>
    <w:rsid w:val="1C8E7BC6"/>
    <w:rsid w:val="1C9176B6"/>
    <w:rsid w:val="1CBF06C7"/>
    <w:rsid w:val="1CD70F8F"/>
    <w:rsid w:val="1CE609CE"/>
    <w:rsid w:val="1D4462E0"/>
    <w:rsid w:val="1D862F93"/>
    <w:rsid w:val="1D8D2573"/>
    <w:rsid w:val="1DAC0C4B"/>
    <w:rsid w:val="1DCB2EC8"/>
    <w:rsid w:val="1DE1641B"/>
    <w:rsid w:val="1E177E6B"/>
    <w:rsid w:val="1E1863D0"/>
    <w:rsid w:val="1E4A027F"/>
    <w:rsid w:val="1E7A2AF8"/>
    <w:rsid w:val="1E7B6870"/>
    <w:rsid w:val="1ECE2E43"/>
    <w:rsid w:val="1F282554"/>
    <w:rsid w:val="1F996FAD"/>
    <w:rsid w:val="1FAD0CAB"/>
    <w:rsid w:val="1FB47221"/>
    <w:rsid w:val="1FE67D19"/>
    <w:rsid w:val="20457135"/>
    <w:rsid w:val="20474300"/>
    <w:rsid w:val="208662B8"/>
    <w:rsid w:val="20BE24EF"/>
    <w:rsid w:val="210A7A37"/>
    <w:rsid w:val="21994F3B"/>
    <w:rsid w:val="21B84BEB"/>
    <w:rsid w:val="21EB0CED"/>
    <w:rsid w:val="221E19EC"/>
    <w:rsid w:val="22E449E3"/>
    <w:rsid w:val="22EF3388"/>
    <w:rsid w:val="237F295E"/>
    <w:rsid w:val="24003A9F"/>
    <w:rsid w:val="24374FE7"/>
    <w:rsid w:val="244A4D1A"/>
    <w:rsid w:val="24612064"/>
    <w:rsid w:val="24A02B8C"/>
    <w:rsid w:val="24B93C4E"/>
    <w:rsid w:val="24C13DAE"/>
    <w:rsid w:val="24CB40F2"/>
    <w:rsid w:val="24F42ED8"/>
    <w:rsid w:val="250E3F9A"/>
    <w:rsid w:val="25B77E0E"/>
    <w:rsid w:val="261C26E6"/>
    <w:rsid w:val="2629095F"/>
    <w:rsid w:val="264D28A0"/>
    <w:rsid w:val="26B92661"/>
    <w:rsid w:val="26D20FF7"/>
    <w:rsid w:val="26E33204"/>
    <w:rsid w:val="27940C01"/>
    <w:rsid w:val="27C46B92"/>
    <w:rsid w:val="27C6290A"/>
    <w:rsid w:val="27DC037F"/>
    <w:rsid w:val="27F31225"/>
    <w:rsid w:val="27F75BE7"/>
    <w:rsid w:val="28327F9F"/>
    <w:rsid w:val="28EF40E2"/>
    <w:rsid w:val="292673D8"/>
    <w:rsid w:val="29451F54"/>
    <w:rsid w:val="29475CCC"/>
    <w:rsid w:val="2976210D"/>
    <w:rsid w:val="29B816E7"/>
    <w:rsid w:val="29FD45DD"/>
    <w:rsid w:val="2A094D30"/>
    <w:rsid w:val="2A1F251D"/>
    <w:rsid w:val="2A2A1BE7"/>
    <w:rsid w:val="2A7D0719"/>
    <w:rsid w:val="2ACF3ADF"/>
    <w:rsid w:val="2ADB2B70"/>
    <w:rsid w:val="2B3509F1"/>
    <w:rsid w:val="2B6761B2"/>
    <w:rsid w:val="2B8079EB"/>
    <w:rsid w:val="2BD55811"/>
    <w:rsid w:val="2C1B6F9C"/>
    <w:rsid w:val="2C1E78EF"/>
    <w:rsid w:val="2C236465"/>
    <w:rsid w:val="2C7C5C8D"/>
    <w:rsid w:val="2CB847EB"/>
    <w:rsid w:val="2D047A30"/>
    <w:rsid w:val="2D09074C"/>
    <w:rsid w:val="2D4931C5"/>
    <w:rsid w:val="2DED127C"/>
    <w:rsid w:val="2E474078"/>
    <w:rsid w:val="2EF04710"/>
    <w:rsid w:val="2F1C72B3"/>
    <w:rsid w:val="2F584545"/>
    <w:rsid w:val="2F9652B7"/>
    <w:rsid w:val="2FA63021"/>
    <w:rsid w:val="2FE22DF6"/>
    <w:rsid w:val="300B7369"/>
    <w:rsid w:val="302C5C1C"/>
    <w:rsid w:val="303167EA"/>
    <w:rsid w:val="307750E9"/>
    <w:rsid w:val="30C47C02"/>
    <w:rsid w:val="313703D4"/>
    <w:rsid w:val="315C403C"/>
    <w:rsid w:val="31927D00"/>
    <w:rsid w:val="31D65E3F"/>
    <w:rsid w:val="3203475A"/>
    <w:rsid w:val="321150C9"/>
    <w:rsid w:val="321D7CD9"/>
    <w:rsid w:val="32285F6F"/>
    <w:rsid w:val="322B1B1A"/>
    <w:rsid w:val="327175D7"/>
    <w:rsid w:val="32917FB8"/>
    <w:rsid w:val="32A221C5"/>
    <w:rsid w:val="32D00AE0"/>
    <w:rsid w:val="32D87995"/>
    <w:rsid w:val="33B41C95"/>
    <w:rsid w:val="33B73A4E"/>
    <w:rsid w:val="33DE547F"/>
    <w:rsid w:val="34045566"/>
    <w:rsid w:val="3460749A"/>
    <w:rsid w:val="346A286F"/>
    <w:rsid w:val="34732160"/>
    <w:rsid w:val="348D69A8"/>
    <w:rsid w:val="34967B08"/>
    <w:rsid w:val="34A915E9"/>
    <w:rsid w:val="34AE3172"/>
    <w:rsid w:val="34B74F94"/>
    <w:rsid w:val="350156E0"/>
    <w:rsid w:val="355A0B35"/>
    <w:rsid w:val="35C83415"/>
    <w:rsid w:val="35DD3FB6"/>
    <w:rsid w:val="35E13004"/>
    <w:rsid w:val="362D624A"/>
    <w:rsid w:val="364041CF"/>
    <w:rsid w:val="36C4095C"/>
    <w:rsid w:val="36F32FEF"/>
    <w:rsid w:val="36F8383E"/>
    <w:rsid w:val="36FA6D7C"/>
    <w:rsid w:val="371513EC"/>
    <w:rsid w:val="377D1581"/>
    <w:rsid w:val="37A4253C"/>
    <w:rsid w:val="37A83866"/>
    <w:rsid w:val="37C329C2"/>
    <w:rsid w:val="380A05F1"/>
    <w:rsid w:val="380D0894"/>
    <w:rsid w:val="3851621F"/>
    <w:rsid w:val="385B7C33"/>
    <w:rsid w:val="38910D12"/>
    <w:rsid w:val="38D330D8"/>
    <w:rsid w:val="396349BE"/>
    <w:rsid w:val="396A50BF"/>
    <w:rsid w:val="39E004CE"/>
    <w:rsid w:val="3A2D6818"/>
    <w:rsid w:val="3A6D30B9"/>
    <w:rsid w:val="3A815E0A"/>
    <w:rsid w:val="3AF1668A"/>
    <w:rsid w:val="3AF45588"/>
    <w:rsid w:val="3B091CD6"/>
    <w:rsid w:val="3B0C0B24"/>
    <w:rsid w:val="3B4A33FA"/>
    <w:rsid w:val="3B6E533A"/>
    <w:rsid w:val="3B8E778B"/>
    <w:rsid w:val="3BDF1D94"/>
    <w:rsid w:val="3BEC625F"/>
    <w:rsid w:val="3C1001A0"/>
    <w:rsid w:val="3C156788"/>
    <w:rsid w:val="3C410359"/>
    <w:rsid w:val="3C796A16"/>
    <w:rsid w:val="3CB13731"/>
    <w:rsid w:val="3CE86A81"/>
    <w:rsid w:val="3D687B67"/>
    <w:rsid w:val="3DC254CA"/>
    <w:rsid w:val="3DFE0BF8"/>
    <w:rsid w:val="3ED100BA"/>
    <w:rsid w:val="3F306570"/>
    <w:rsid w:val="3F6D3B11"/>
    <w:rsid w:val="3FA23805"/>
    <w:rsid w:val="3FE8319B"/>
    <w:rsid w:val="40387CC5"/>
    <w:rsid w:val="407F3B4D"/>
    <w:rsid w:val="40C71F4C"/>
    <w:rsid w:val="417D300E"/>
    <w:rsid w:val="41984EBF"/>
    <w:rsid w:val="42044303"/>
    <w:rsid w:val="42876CE2"/>
    <w:rsid w:val="438D657A"/>
    <w:rsid w:val="43AF4742"/>
    <w:rsid w:val="44E1092B"/>
    <w:rsid w:val="45806396"/>
    <w:rsid w:val="458C4D3B"/>
    <w:rsid w:val="45AA6F6F"/>
    <w:rsid w:val="460340A0"/>
    <w:rsid w:val="46B604A0"/>
    <w:rsid w:val="471E20BC"/>
    <w:rsid w:val="486F529A"/>
    <w:rsid w:val="48887741"/>
    <w:rsid w:val="48E629B4"/>
    <w:rsid w:val="4913307D"/>
    <w:rsid w:val="49396F88"/>
    <w:rsid w:val="494B1258"/>
    <w:rsid w:val="497917A4"/>
    <w:rsid w:val="497955D6"/>
    <w:rsid w:val="497C6E74"/>
    <w:rsid w:val="498F4DFA"/>
    <w:rsid w:val="49B54134"/>
    <w:rsid w:val="49CC7DFC"/>
    <w:rsid w:val="4A301A0D"/>
    <w:rsid w:val="4AF43E36"/>
    <w:rsid w:val="4B090BDC"/>
    <w:rsid w:val="4B2C6678"/>
    <w:rsid w:val="4B320132"/>
    <w:rsid w:val="4BE8776D"/>
    <w:rsid w:val="4BFF4102"/>
    <w:rsid w:val="4C4C5224"/>
    <w:rsid w:val="4D2E0486"/>
    <w:rsid w:val="4D341814"/>
    <w:rsid w:val="4D4203D5"/>
    <w:rsid w:val="4D5C3245"/>
    <w:rsid w:val="4EA759A5"/>
    <w:rsid w:val="4EAE124F"/>
    <w:rsid w:val="4ECC7F56"/>
    <w:rsid w:val="4F500D0E"/>
    <w:rsid w:val="4F6732B5"/>
    <w:rsid w:val="4F69539B"/>
    <w:rsid w:val="4F812B60"/>
    <w:rsid w:val="4F8B7E11"/>
    <w:rsid w:val="4F9D7B44"/>
    <w:rsid w:val="4FB662A1"/>
    <w:rsid w:val="4FC11A85"/>
    <w:rsid w:val="4FD305A3"/>
    <w:rsid w:val="4FD572DE"/>
    <w:rsid w:val="4FF43C08"/>
    <w:rsid w:val="501D717B"/>
    <w:rsid w:val="50CD4459"/>
    <w:rsid w:val="511300BE"/>
    <w:rsid w:val="511856D5"/>
    <w:rsid w:val="516B614C"/>
    <w:rsid w:val="51954F77"/>
    <w:rsid w:val="51FF0643"/>
    <w:rsid w:val="52412A09"/>
    <w:rsid w:val="52B7579B"/>
    <w:rsid w:val="52CB49C9"/>
    <w:rsid w:val="52FC2DD4"/>
    <w:rsid w:val="53497168"/>
    <w:rsid w:val="53855870"/>
    <w:rsid w:val="53B84F4D"/>
    <w:rsid w:val="53E2021C"/>
    <w:rsid w:val="545C7FCE"/>
    <w:rsid w:val="546B6463"/>
    <w:rsid w:val="54795E2B"/>
    <w:rsid w:val="54817A35"/>
    <w:rsid w:val="5486504B"/>
    <w:rsid w:val="548D462B"/>
    <w:rsid w:val="54F77CF7"/>
    <w:rsid w:val="55012924"/>
    <w:rsid w:val="554D5B69"/>
    <w:rsid w:val="55782BE6"/>
    <w:rsid w:val="55822579"/>
    <w:rsid w:val="55967510"/>
    <w:rsid w:val="55E302FA"/>
    <w:rsid w:val="56097CE2"/>
    <w:rsid w:val="560B3A5A"/>
    <w:rsid w:val="56301675"/>
    <w:rsid w:val="563A433F"/>
    <w:rsid w:val="564B02FA"/>
    <w:rsid w:val="56665134"/>
    <w:rsid w:val="56B45E9F"/>
    <w:rsid w:val="56CB4F97"/>
    <w:rsid w:val="56D96BBB"/>
    <w:rsid w:val="56E147BB"/>
    <w:rsid w:val="57601BE6"/>
    <w:rsid w:val="57DE53EC"/>
    <w:rsid w:val="58672F9C"/>
    <w:rsid w:val="58C15511"/>
    <w:rsid w:val="59360056"/>
    <w:rsid w:val="5939268C"/>
    <w:rsid w:val="59507811"/>
    <w:rsid w:val="59525F99"/>
    <w:rsid w:val="59BD32BD"/>
    <w:rsid w:val="5A5D633E"/>
    <w:rsid w:val="5A5D684E"/>
    <w:rsid w:val="5A871B1D"/>
    <w:rsid w:val="5AFE1DDF"/>
    <w:rsid w:val="5B044F1C"/>
    <w:rsid w:val="5B4812AC"/>
    <w:rsid w:val="5B8878FB"/>
    <w:rsid w:val="5BB97AB4"/>
    <w:rsid w:val="5BBB7CD0"/>
    <w:rsid w:val="5BBE1221"/>
    <w:rsid w:val="5BD668B8"/>
    <w:rsid w:val="5BEA2363"/>
    <w:rsid w:val="5D1A6C78"/>
    <w:rsid w:val="5D2D376B"/>
    <w:rsid w:val="5D323FC2"/>
    <w:rsid w:val="5D423AD9"/>
    <w:rsid w:val="5DE27796"/>
    <w:rsid w:val="5DF23751"/>
    <w:rsid w:val="5E4F4700"/>
    <w:rsid w:val="5E587A58"/>
    <w:rsid w:val="5ED6097D"/>
    <w:rsid w:val="5EE17A4E"/>
    <w:rsid w:val="5F426C64"/>
    <w:rsid w:val="5F6366B5"/>
    <w:rsid w:val="5FB36E1F"/>
    <w:rsid w:val="5FBE7A5D"/>
    <w:rsid w:val="6008100A"/>
    <w:rsid w:val="601A3622"/>
    <w:rsid w:val="60745D0D"/>
    <w:rsid w:val="60BF5B6D"/>
    <w:rsid w:val="60E4315A"/>
    <w:rsid w:val="612E1424"/>
    <w:rsid w:val="6142054C"/>
    <w:rsid w:val="614D5034"/>
    <w:rsid w:val="617526CF"/>
    <w:rsid w:val="62015D11"/>
    <w:rsid w:val="623D76BC"/>
    <w:rsid w:val="62475BA8"/>
    <w:rsid w:val="62573F6F"/>
    <w:rsid w:val="626F7B0B"/>
    <w:rsid w:val="62AE19D2"/>
    <w:rsid w:val="62B76C48"/>
    <w:rsid w:val="63525D02"/>
    <w:rsid w:val="635D341B"/>
    <w:rsid w:val="63604865"/>
    <w:rsid w:val="63B868A3"/>
    <w:rsid w:val="641F4B74"/>
    <w:rsid w:val="64786747"/>
    <w:rsid w:val="64D25124"/>
    <w:rsid w:val="64FE570C"/>
    <w:rsid w:val="65404DA2"/>
    <w:rsid w:val="65670581"/>
    <w:rsid w:val="65AC068A"/>
    <w:rsid w:val="65B01F28"/>
    <w:rsid w:val="663A217C"/>
    <w:rsid w:val="66911D59"/>
    <w:rsid w:val="669B38C6"/>
    <w:rsid w:val="66AD6467"/>
    <w:rsid w:val="66F35EC1"/>
    <w:rsid w:val="670267B3"/>
    <w:rsid w:val="6727446C"/>
    <w:rsid w:val="67957627"/>
    <w:rsid w:val="67CB3049"/>
    <w:rsid w:val="6804655B"/>
    <w:rsid w:val="6809591F"/>
    <w:rsid w:val="681542C4"/>
    <w:rsid w:val="68570BAA"/>
    <w:rsid w:val="685F19E3"/>
    <w:rsid w:val="68725BBA"/>
    <w:rsid w:val="689A0C6D"/>
    <w:rsid w:val="68A11FFC"/>
    <w:rsid w:val="68BC0BE4"/>
    <w:rsid w:val="68CB7079"/>
    <w:rsid w:val="69B261F1"/>
    <w:rsid w:val="69E91EAC"/>
    <w:rsid w:val="6A601595"/>
    <w:rsid w:val="6A885221"/>
    <w:rsid w:val="6B8C4EA6"/>
    <w:rsid w:val="6C2076DB"/>
    <w:rsid w:val="6C3F3D03"/>
    <w:rsid w:val="6C4909E0"/>
    <w:rsid w:val="6C9205D9"/>
    <w:rsid w:val="6C9F6852"/>
    <w:rsid w:val="6CB53035"/>
    <w:rsid w:val="6CC8450A"/>
    <w:rsid w:val="6CE801F9"/>
    <w:rsid w:val="6DB76E92"/>
    <w:rsid w:val="6DCA3DA3"/>
    <w:rsid w:val="6E2C1BDC"/>
    <w:rsid w:val="6E45212F"/>
    <w:rsid w:val="6EB8009F"/>
    <w:rsid w:val="6EDC1FE0"/>
    <w:rsid w:val="6EF869AC"/>
    <w:rsid w:val="6F095927"/>
    <w:rsid w:val="6F115187"/>
    <w:rsid w:val="6F192753"/>
    <w:rsid w:val="6F2179F2"/>
    <w:rsid w:val="6F4C569B"/>
    <w:rsid w:val="6F814935"/>
    <w:rsid w:val="6F89736B"/>
    <w:rsid w:val="6FBB23B6"/>
    <w:rsid w:val="702D58F2"/>
    <w:rsid w:val="7036127C"/>
    <w:rsid w:val="70B76860"/>
    <w:rsid w:val="70CB0DED"/>
    <w:rsid w:val="70D70CB1"/>
    <w:rsid w:val="70DA60AB"/>
    <w:rsid w:val="70E77D9E"/>
    <w:rsid w:val="70F52EE5"/>
    <w:rsid w:val="71722BBA"/>
    <w:rsid w:val="71970440"/>
    <w:rsid w:val="71C72AD3"/>
    <w:rsid w:val="73216213"/>
    <w:rsid w:val="732441E3"/>
    <w:rsid w:val="7332230D"/>
    <w:rsid w:val="733817AF"/>
    <w:rsid w:val="7358488B"/>
    <w:rsid w:val="735A1725"/>
    <w:rsid w:val="7386708A"/>
    <w:rsid w:val="73B250BD"/>
    <w:rsid w:val="7443040B"/>
    <w:rsid w:val="74636A0C"/>
    <w:rsid w:val="746C5385"/>
    <w:rsid w:val="74784559"/>
    <w:rsid w:val="7487654A"/>
    <w:rsid w:val="748B700A"/>
    <w:rsid w:val="749B0247"/>
    <w:rsid w:val="749F4DE4"/>
    <w:rsid w:val="74BA06CD"/>
    <w:rsid w:val="74F811F5"/>
    <w:rsid w:val="75371D1E"/>
    <w:rsid w:val="754E73B7"/>
    <w:rsid w:val="756B5E6B"/>
    <w:rsid w:val="75A1363B"/>
    <w:rsid w:val="75C5557C"/>
    <w:rsid w:val="75CF01A8"/>
    <w:rsid w:val="75EB0D5A"/>
    <w:rsid w:val="7625383D"/>
    <w:rsid w:val="76741A57"/>
    <w:rsid w:val="769C1025"/>
    <w:rsid w:val="769E5DCD"/>
    <w:rsid w:val="76CD220E"/>
    <w:rsid w:val="76E539FB"/>
    <w:rsid w:val="77530965"/>
    <w:rsid w:val="77626DFA"/>
    <w:rsid w:val="77855432"/>
    <w:rsid w:val="78232A2D"/>
    <w:rsid w:val="7892370F"/>
    <w:rsid w:val="78E51A91"/>
    <w:rsid w:val="794706A8"/>
    <w:rsid w:val="795310F0"/>
    <w:rsid w:val="797F1EE5"/>
    <w:rsid w:val="79D00993"/>
    <w:rsid w:val="79ED6E4F"/>
    <w:rsid w:val="7A603AC5"/>
    <w:rsid w:val="7A6D3C99"/>
    <w:rsid w:val="7A7632E8"/>
    <w:rsid w:val="7AC57DCC"/>
    <w:rsid w:val="7B1D7C08"/>
    <w:rsid w:val="7B1E2772"/>
    <w:rsid w:val="7B203043"/>
    <w:rsid w:val="7B35287F"/>
    <w:rsid w:val="7BAB0D70"/>
    <w:rsid w:val="7C013085"/>
    <w:rsid w:val="7C084414"/>
    <w:rsid w:val="7CB37518"/>
    <w:rsid w:val="7CC0084B"/>
    <w:rsid w:val="7CE56503"/>
    <w:rsid w:val="7D44705A"/>
    <w:rsid w:val="7DAE0FEB"/>
    <w:rsid w:val="7E7C2107"/>
    <w:rsid w:val="7EAE5927"/>
    <w:rsid w:val="7EC5039A"/>
    <w:rsid w:val="7EEF6822"/>
    <w:rsid w:val="7F402117"/>
    <w:rsid w:val="7FC32F20"/>
    <w:rsid w:val="7FDD34C2"/>
    <w:rsid w:val="7FE93C57"/>
    <w:rsid w:val="7F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仿宋_GB2312" w:eastAsia="宋体" w:cs="Times New Roman"/>
      <w:kern w:val="0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30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7386</Words>
  <Characters>7493</Characters>
  <Lines>0</Lines>
  <Paragraphs>0</Paragraphs>
  <TotalTime>3</TotalTime>
  <ScaleCrop>false</ScaleCrop>
  <LinksUpToDate>false</LinksUpToDate>
  <CharactersWithSpaces>7495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2024-02-22T05:58:00Z</dcterms:created>
  <dc:creator>Administrator</dc:creator>
  <cp:lastModifiedBy>Administrator</cp:lastModifiedBy>
  <cp:lastPrinted>2024-08-09T07:14:00Z</cp:lastPrinted>
  <dcterms:modified xsi:type="dcterms:W3CDTF">2024-08-09T09:22:03Z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2ADF18D36EF8489592CB09F6685DEB0F_13</vt:lpwstr>
  </property>
</Properties>
</file>