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山东省推动轮胎行业发展新质生产力</w:t>
      </w:r>
    </w:p>
    <w:p>
      <w:pPr>
        <w:keepNext w:val="0"/>
        <w:keepLines w:val="0"/>
        <w:pageBreakBefore w:val="0"/>
        <w:widowControl w:val="0"/>
        <w:tabs>
          <w:tab w:val="center" w:pos="4432"/>
          <w:tab w:val="left" w:pos="771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行动计划（2024-2027年）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ind w:firstLine="0" w:firstLineChars="0"/>
        <w:jc w:val="center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（征求意见稿）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为深入贯彻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落实省委省政府关于因地制宜发展新质生产力有关部署，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巩固提升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我省轮胎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行业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竞争新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优势，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因地制宜发展新质生产力，促进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行业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提质增效和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绿色低碳</w:t>
      </w:r>
      <w:r>
        <w:rPr>
          <w:rFonts w:hint="eastAsia" w:ascii="仿宋_GB2312" w:hAnsi="仿宋_GB2312" w:eastAsia="仿宋_GB2312" w:cs="仿宋_GB2312"/>
          <w:sz w:val="32"/>
          <w:szCs w:val="32"/>
        </w:rPr>
        <w:t>高质量发展，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制定</w:t>
      </w:r>
      <w:r>
        <w:rPr>
          <w:rFonts w:hint="eastAsia" w:ascii="仿宋_GB2312" w:hAnsi="仿宋_GB2312" w:eastAsia="仿宋_GB2312" w:cs="仿宋_GB2312"/>
          <w:sz w:val="32"/>
          <w:szCs w:val="32"/>
        </w:rPr>
        <w:t>本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行动计划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一、总体要求</w:t>
      </w:r>
    </w:p>
    <w:p>
      <w:pPr>
        <w:keepNext w:val="0"/>
        <w:keepLines w:val="0"/>
        <w:pageBreakBefore w:val="0"/>
        <w:widowControl w:val="0"/>
        <w:tabs>
          <w:tab w:val="left" w:pos="39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（一）指导思想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坚持以习近平新时代中国特色社会主义思想为指导，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深入</w:t>
      </w:r>
      <w:r>
        <w:rPr>
          <w:rFonts w:hint="eastAsia" w:ascii="仿宋_GB2312" w:hAnsi="仿宋_GB2312" w:eastAsia="仿宋_GB2312" w:cs="仿宋_GB2312"/>
          <w:sz w:val="32"/>
          <w:szCs w:val="32"/>
        </w:rPr>
        <w:t>贯彻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落实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习近平总书记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关于发展新质生产力的重要论述和对山东视察的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重要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讲话精神</w:t>
      </w:r>
      <w:r>
        <w:rPr>
          <w:rFonts w:hint="eastAsia" w:ascii="仿宋_GB2312" w:hAnsi="仿宋_GB2312" w:eastAsia="仿宋_GB2312" w:cs="仿宋_GB2312"/>
          <w:sz w:val="32"/>
          <w:szCs w:val="32"/>
        </w:rPr>
        <w:t>，完整、准确、全面贯彻新发展理念，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坚持以</w:t>
      </w:r>
      <w:r>
        <w:rPr>
          <w:rFonts w:hint="eastAsia" w:asci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auto"/>
          <w:lang w:val="en-US" w:eastAsia="zh-CN"/>
        </w:rPr>
        <w:t>创新为引领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auto"/>
        </w:rPr>
        <w:t>，</w:t>
      </w:r>
      <w:r>
        <w:rPr>
          <w:rFonts w:hint="eastAsia" w:asci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auto"/>
          <w:lang w:val="en-US" w:eastAsia="zh-CN"/>
        </w:rPr>
        <w:t>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高端化、智能化、绿色化、集群化为方向，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协同推进科技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shd w:val="clear"/>
          <w:lang w:val="en-US" w:eastAsia="zh-CN" w:bidi="ar"/>
        </w:rPr>
        <w:t>创新、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产业升级</w:t>
      </w:r>
      <w:r>
        <w:rPr>
          <w:rFonts w:hint="eastAsia" w:ascii="仿宋_GB2312" w:eastAsia="仿宋_GB2312" w:cs="仿宋_GB2312"/>
          <w:sz w:val="32"/>
          <w:szCs w:val="32"/>
          <w:shd w:val="clear"/>
          <w:lang w:val="en-US" w:eastAsia="zh-CN" w:bidi="ar"/>
        </w:rPr>
        <w:t>、</w:t>
      </w:r>
      <w:r>
        <w:rPr>
          <w:rFonts w:hint="eastAsia" w:asci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  <w:lang w:val="en-US" w:eastAsia="zh-CN"/>
        </w:rPr>
        <w:t>智转数改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绿色发展、品牌塑强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等重点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任务，大力发展新质生产力，实现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技术革命性突破、生产要素创新性配置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-SA"/>
        </w:rPr>
        <w:t>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产业深度转型升级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全面构建现代化轮胎产业体系，促进轮胎行业绿色低碳高质量发展。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（二）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基本原则</w:t>
      </w:r>
    </w:p>
    <w:p>
      <w:pPr>
        <w:numPr>
          <w:ilvl w:val="-1"/>
          <w:numId w:val="0"/>
        </w:numPr>
        <w:snapToGrid/>
        <w:spacing w:afterLines="0" w:line="560" w:lineRule="exact"/>
        <w:ind w:firstLine="643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政府引导，市场主导。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auto"/>
        </w:rPr>
        <w:t>充分发挥市场在资源配置中的决定性作用,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</w:rPr>
        <w:t>更好发挥政府政策引导和服务作用,以市场需求为导向,优化资源</w:t>
      </w:r>
      <w:r>
        <w:rPr>
          <w:rFonts w:hint="eastAsia" w:asci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  <w:lang w:val="en-US" w:eastAsia="zh-CN"/>
        </w:rPr>
        <w:t>配置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</w:rPr>
        <w:t>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大力培育优质企业，建立与行业新质生产力发展相适应的产业生态，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释放行业发展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新动能。</w:t>
      </w:r>
    </w:p>
    <w:p>
      <w:pPr>
        <w:numPr>
          <w:ilvl w:val="-1"/>
          <w:numId w:val="0"/>
        </w:numPr>
        <w:snapToGrid/>
        <w:spacing w:afterLines="0" w:line="560" w:lineRule="exact"/>
        <w:ind w:firstLine="643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创新驱动，高端引领。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auto"/>
        </w:rPr>
        <w:t>以创新为动力，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强化高水平</w:t>
      </w:r>
      <w:r>
        <w:rPr>
          <w:rFonts w:hint="eastAsia" w:ascii="仿宋_GB2312" w:hAnsi="仿宋_GB2312" w:eastAsia="仿宋_GB2312" w:cs="仿宋_GB2312"/>
          <w:sz w:val="32"/>
          <w:szCs w:val="32"/>
        </w:rPr>
        <w:t>科技自立自强，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推进</w:t>
      </w:r>
      <w:r>
        <w:rPr>
          <w:rFonts w:hint="eastAsia" w:ascii="仿宋_GB2312" w:hAnsi="仿宋_GB2312" w:eastAsia="仿宋_GB2312" w:cs="仿宋_GB2312"/>
          <w:sz w:val="32"/>
          <w:szCs w:val="32"/>
        </w:rPr>
        <w:t>关键核心技术攻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坚。加快高端项目建设，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聚焦产业提质、产品升级，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着力提升全要素生产率，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以高水平创新促进高质量发展。</w:t>
      </w:r>
    </w:p>
    <w:p>
      <w:pPr>
        <w:numPr>
          <w:ilvl w:val="-1"/>
          <w:numId w:val="0"/>
        </w:numPr>
        <w:snapToGrid/>
        <w:spacing w:afterLines="0" w:line="560" w:lineRule="exact"/>
        <w:ind w:firstLine="643" w:firstLineChars="200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  <w:lang w:bidi="ar-SA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开放融合，协同发展。</w:t>
      </w:r>
      <w:r>
        <w:rPr>
          <w:rFonts w:hint="eastAsia" w:asci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  <w:t>坚持高质量引进来、高水平走出去，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充分利用“两个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  <w:t>市场、两种资源”，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释放国内国际双循环资源联动效应，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  <w:lang w:bidi="ar-SA"/>
        </w:rPr>
        <w:t>强化产业链上下游协同发展</w:t>
      </w:r>
      <w:r>
        <w:rPr>
          <w:rFonts w:hint="eastAsia" w:asci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  <w:lang w:eastAsia="zh-CN" w:bidi="ar-SA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  <w:lang w:bidi="ar-SA"/>
        </w:rPr>
        <w:t>行业间耦合发展</w:t>
      </w:r>
      <w:r>
        <w:rPr>
          <w:rFonts w:hint="eastAsia" w:asci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  <w:lang w:eastAsia="zh-CN" w:bidi="ar-SA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促进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产业优势互补与合作共赢，积极</w:t>
      </w:r>
      <w:r>
        <w:rPr>
          <w:rFonts w:hint="eastAsia" w:asci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  <w:lang w:val="en-US" w:eastAsia="zh-CN" w:bidi="ar-SA"/>
        </w:rPr>
        <w:t>构建发展新格局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  <w:lang w:bidi="ar-SA"/>
        </w:rPr>
        <w:t>。</w:t>
      </w:r>
    </w:p>
    <w:p>
      <w:pPr>
        <w:numPr>
          <w:ilvl w:val="-1"/>
          <w:numId w:val="0"/>
        </w:numPr>
        <w:snapToGrid/>
        <w:spacing w:afterLines="0"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安全环保，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绿色低碳。</w:t>
      </w:r>
      <w:r>
        <w:rPr>
          <w:rFonts w:hint="eastAsia" w:asci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统筹发展与安全，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增强</w:t>
      </w:r>
      <w:r>
        <w:rPr>
          <w:rFonts w:hint="eastAsia" w:ascii="仿宋_GB2312" w:hAnsi="仿宋_GB2312" w:eastAsia="仿宋_GB2312" w:cs="仿宋_GB2312"/>
          <w:sz w:val="32"/>
          <w:szCs w:val="32"/>
        </w:rPr>
        <w:t>产业链供应链安全稳定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性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提升本质安全水平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守牢安全底线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践行</w:t>
      </w:r>
      <w:r>
        <w:rPr>
          <w:rFonts w:hint="eastAsia" w:ascii="仿宋_GB2312" w:hAnsi="仿宋_GB2312" w:eastAsia="仿宋_GB2312" w:cs="仿宋_GB2312"/>
          <w:sz w:val="32"/>
          <w:szCs w:val="32"/>
        </w:rPr>
        <w:t>绿色低碳发展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理念，健全绿色制造体系，推行清洁生产方式，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auto"/>
        </w:rPr>
        <w:t>协同推进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行业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auto"/>
        </w:rPr>
        <w:t>降碳、减污、扩绿、增长</w:t>
      </w:r>
      <w:r>
        <w:rPr>
          <w:rFonts w:hint="eastAsia" w:asci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eastAsia="zh-CN"/>
        </w:rPr>
        <w:t>，培育发展绿色生产力。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（三）主要目标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到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2027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轮胎行业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创新能力显著增强，</w:t>
      </w:r>
      <w:r>
        <w:rPr>
          <w:rFonts w:hint="eastAsia" w:ascii="仿宋_GB2312" w:hAnsi="仿宋_GB2312" w:eastAsia="仿宋_GB2312" w:cs="仿宋_GB2312"/>
          <w:sz w:val="32"/>
          <w:szCs w:val="32"/>
        </w:rPr>
        <w:t>高端产品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占比不断提高，品牌影响力持续扩大，全要素生产力明显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提升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高科技、高效能、高质量成为我省轮胎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行业新质生产力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显著特征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——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创新能力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实现新突破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。力争</w:t>
      </w:r>
      <w:r>
        <w:rPr>
          <w:rFonts w:hint="eastAsia" w:asci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  <w:lang w:val="en-US" w:eastAsia="zh-CN"/>
        </w:rPr>
        <w:t>规模以上企业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</w:rPr>
        <w:t>研发经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auto"/>
        </w:rPr>
        <w:t>费投入</w:t>
      </w:r>
      <w:r>
        <w:rPr>
          <w:rFonts w:hint="eastAsia" w:asci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auto"/>
          <w:lang w:eastAsia="zh-CN"/>
        </w:rPr>
        <w:t>平均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auto"/>
        </w:rPr>
        <w:t>强度达到</w:t>
      </w:r>
      <w:r>
        <w:rPr>
          <w:rFonts w:hint="eastAsia" w:asci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  <w:lang w:eastAsia="zh-CN"/>
        </w:rPr>
        <w:t>3</w:t>
      </w:r>
      <w:r>
        <w:rPr>
          <w:rFonts w:hint="eastAsia" w:asci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  <w:lang w:val="en-US" w:eastAsia="zh-CN"/>
        </w:rPr>
        <w:t>%左右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 w:cs="仿宋_GB2312"/>
          <w:b w:val="0"/>
          <w:bCs w:val="0"/>
          <w:sz w:val="32"/>
          <w:szCs w:val="32"/>
          <w:lang w:val="en-US" w:eastAsia="zh-CN"/>
        </w:rPr>
        <w:t>新增1-2家国家技术创新示范企业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，国家级和省级企业技术中心达到30家</w:t>
      </w:r>
      <w:r>
        <w:rPr>
          <w:rFonts w:hint="eastAsia" w:ascii="仿宋_GB2312" w:eastAsia="仿宋_GB2312" w:cs="仿宋_GB2312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auto"/>
        </w:rPr>
        <w:t>一批新技术、新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auto"/>
          <w:lang w:val="en-US" w:eastAsia="zh-CN"/>
        </w:rPr>
        <w:t>产品</w:t>
      </w:r>
      <w:r>
        <w:rPr>
          <w:rFonts w:hint="eastAsia" w:asci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auto"/>
        </w:rPr>
        <w:t>新业态、新模式得到普遍应用，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在高端技术和关键共性技术等方面取得突破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fill="auto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eastAsia="zh-CN"/>
        </w:rPr>
        <w:t>——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数字化转型达到新水平。</w:t>
      </w:r>
      <w:r>
        <w:rPr>
          <w:rFonts w:hint="eastAsia" w:ascii="仿宋_GB2312" w:eastAsia="仿宋_GB2312" w:cs="仿宋_GB2312"/>
          <w:color w:val="auto"/>
          <w:sz w:val="32"/>
          <w:szCs w:val="32"/>
          <w:shd w:val="clear" w:fill="auto"/>
          <w:lang w:val="en-US" w:eastAsia="zh-CN"/>
        </w:rPr>
        <w:t>行业数字化水平明显提高，企业数字化转型成效凸显，力争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规模以上企业数字化研发设计工具普及率超过92%、</w:t>
      </w:r>
      <w:r>
        <w:rPr>
          <w:rFonts w:hint="eastAsia" w:ascii="仿宋_GB2312" w:eastAsia="仿宋_GB2312" w:cs="仿宋_GB2312"/>
          <w:color w:val="auto"/>
          <w:sz w:val="32"/>
          <w:szCs w:val="32"/>
          <w:shd w:val="clear" w:fill="auto"/>
          <w:lang w:val="en-US" w:eastAsia="zh-CN"/>
        </w:rPr>
        <w:t>数字化转型覆盖率达到98%以上，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国家级和省级智能工厂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达到20家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——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节能减排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取得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新进展。行业整体能效水平明显提升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碳排放强度持续下降，力争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全省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全钢、半钢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子午线轮胎企业平均能效水平达到国家标杆水平标准，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国家级和省级绿色工厂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达到20家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——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高质量发展迈上新台阶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行业总营业收入达到1800亿元，营业</w:t>
      </w:r>
      <w:r>
        <w:rPr>
          <w:rFonts w:hint="eastAsia" w:ascii="仿宋_GB2312" w:hAnsi="仿宋_GB2312" w:eastAsia="仿宋_GB2312" w:cs="仿宋_GB2312"/>
          <w:sz w:val="32"/>
          <w:szCs w:val="32"/>
        </w:rPr>
        <w:t>收入过100亿元的企业达到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家，1家企业进入全球轮胎行业前10强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半岛和鲁北两大轮胎产业集群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auto"/>
          <w:lang w:val="en-US" w:eastAsia="zh-CN" w:bidi="ar"/>
        </w:rPr>
        <w:t>产能占全省</w:t>
      </w:r>
      <w:r>
        <w:rPr>
          <w:rFonts w:hint="eastAsia" w:asci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auto"/>
          <w:lang w:val="en-US" w:eastAsia="zh-CN" w:bidi="ar"/>
        </w:rPr>
        <w:t>比重达到80%以上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，营业收入分别达到600亿元和800亿元以上；</w:t>
      </w:r>
      <w:r>
        <w:rPr>
          <w:rFonts w:hint="eastAsia" w:ascii="仿宋_GB2312" w:hAnsi="仿宋_GB2312" w:eastAsia="仿宋_GB2312" w:cs="仿宋_GB2312"/>
          <w:sz w:val="32"/>
          <w:szCs w:val="32"/>
        </w:rPr>
        <w:t>省级专精特新企业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国家级专精特新“小巨人”企业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等优质中小企业数量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达到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40</w:t>
      </w:r>
      <w:r>
        <w:rPr>
          <w:rFonts w:hint="eastAsia" w:ascii="仿宋_GB2312" w:hAnsi="仿宋_GB2312" w:eastAsia="仿宋_GB2312" w:cs="仿宋_GB2312"/>
          <w:sz w:val="32"/>
          <w:szCs w:val="32"/>
        </w:rPr>
        <w:t>家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以上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二、重点任务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实施科技创新能力提升行动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强化行业研发能力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支持建设先进橡胶材料分析测试创新研发中心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促进高校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科研院所和企业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构建创新链、产业链、人才链一体化创新平台，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建设</w:t>
      </w:r>
      <w:r>
        <w:rPr>
          <w:rFonts w:hint="eastAsia" w:ascii="仿宋_GB2312" w:hAnsi="仿宋_GB2312" w:eastAsia="仿宋_GB2312" w:cs="仿宋_GB2312"/>
          <w:sz w:val="32"/>
          <w:szCs w:val="32"/>
        </w:rPr>
        <w:t>行业领先的产学研用协同发展体系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健全轮胎专业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人才</w:t>
      </w:r>
      <w:r>
        <w:rPr>
          <w:rFonts w:hint="eastAsia" w:ascii="仿宋_GB2312" w:eastAsia="仿宋_GB2312" w:cs="仿宋_GB2312"/>
          <w:kern w:val="2"/>
          <w:sz w:val="32"/>
          <w:szCs w:val="32"/>
          <w:lang w:val="en-US" w:eastAsia="zh-CN"/>
        </w:rPr>
        <w:t>教育储备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度，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支持行业重点用人单位用好泰山、齐鲁人才工程等政策，加大急需紧缺人才引育力度</w:t>
      </w:r>
      <w:r>
        <w:rPr>
          <w:rFonts w:hint="eastAsia" w:asci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shd w:val="clear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充分发挥青岛科技大学橡胶轮胎学科专业、科技成果转化、创新人才培养等优势特色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shd w:val="clear"/>
          <w:lang w:val="en-US" w:eastAsia="zh-CN"/>
        </w:rPr>
        <w:t>围绕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auto"/>
        </w:rPr>
        <w:t>创新链</w:t>
      </w:r>
      <w:r>
        <w:rPr>
          <w:rFonts w:hint="eastAsia" w:asci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auto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auto"/>
        </w:rPr>
        <w:t>产业链、</w:t>
      </w:r>
      <w:r>
        <w:rPr>
          <w:rFonts w:hint="eastAsia" w:asci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auto"/>
          <w:lang w:eastAsia="zh-CN"/>
        </w:rPr>
        <w:t>人才链布局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auto"/>
        </w:rPr>
        <w:t>学科专业体系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支持国家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橡胶</w:t>
      </w:r>
      <w:r>
        <w:rPr>
          <w:rFonts w:hint="eastAsia" w:ascii="仿宋_GB2312" w:hAnsi="仿宋_GB2312" w:eastAsia="仿宋_GB2312" w:cs="仿宋_GB2312"/>
          <w:sz w:val="32"/>
          <w:szCs w:val="32"/>
        </w:rPr>
        <w:t>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轮</w:t>
      </w:r>
      <w:r>
        <w:rPr>
          <w:rFonts w:hint="eastAsia" w:ascii="仿宋_GB2312" w:hAnsi="仿宋_GB2312" w:eastAsia="仿宋_GB2312" w:cs="仿宋_GB2312"/>
          <w:sz w:val="32"/>
          <w:szCs w:val="32"/>
        </w:rPr>
        <w:t>胎工程技术研究中心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轮胎先进装备与关键材料国家工程研究中心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橡塑材料与工程教育部重点实验室等科研机构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持续提升科技创新能力</w:t>
      </w:r>
      <w:r>
        <w:rPr>
          <w:rFonts w:hint="eastAsia" w:ascii="仿宋_GB2312" w:hAnsi="仿宋_GB2312" w:eastAsia="仿宋_GB2312" w:cs="仿宋_GB2312"/>
          <w:sz w:val="32"/>
          <w:szCs w:val="32"/>
        </w:rPr>
        <w:t>,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打造原创性技术策源地。强化企业创新主体地位，加快企业研发机构建设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支持具备</w:t>
      </w:r>
      <w:r>
        <w:rPr>
          <w:rFonts w:hint="eastAsia" w:ascii="仿宋_GB2312" w:eastAsia="仿宋_GB2312" w:cs="仿宋_GB2312"/>
          <w:b w:val="0"/>
          <w:bCs w:val="0"/>
          <w:sz w:val="32"/>
          <w:szCs w:val="32"/>
          <w:lang w:val="en-US" w:eastAsia="zh-CN"/>
        </w:rPr>
        <w:t>条件的企业争创省级制造业创新中心和国家技术创新示范企业。</w:t>
      </w:r>
      <w:r>
        <w:rPr>
          <w:rFonts w:hint="eastAsia" w:ascii="仿宋_GB2312" w:eastAsia="仿宋_GB2312" w:cs="仿宋_GB2312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省教育厅、省科技厅、省委组织部、省发展改革委、省人力资源和社会保障厅、省工业和信息化厅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0"/>
          <w:sz w:val="32"/>
          <w:szCs w:val="32"/>
          <w:shd w:val="clear" w:fill="auto"/>
        </w:rPr>
        <w:t>按职责分工负责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。各</w:t>
      </w:r>
      <w:r>
        <w:rPr>
          <w:rFonts w:hint="eastAsia" w:ascii="楷体_GB2312" w:hAnsi="楷体_GB2312" w:eastAsia="楷体_GB2312" w:cs="楷体_GB2312"/>
          <w:sz w:val="32"/>
          <w:szCs w:val="32"/>
        </w:rPr>
        <w:t>市政府履行主体责任，不再单独列出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，</w:t>
      </w:r>
      <w:r>
        <w:rPr>
          <w:rFonts w:hint="eastAsia" w:ascii="楷体_GB2312" w:hAnsi="楷体_GB2312" w:eastAsia="楷体_GB2312" w:cs="楷体_GB2312"/>
          <w:sz w:val="32"/>
          <w:szCs w:val="32"/>
        </w:rPr>
        <w:t>下同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加快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技术革命性突破。</w:t>
      </w:r>
      <w:r>
        <w:rPr>
          <w:rFonts w:hint="eastAsia" w:ascii="仿宋_GB2312" w:eastAsia="仿宋_GB2312" w:cs="仿宋_GB2312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lang w:eastAsia="zh-CN"/>
        </w:rPr>
        <w:t>建立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</w:rPr>
        <w:t>产业“卡脖子”关键核心技术、高校院所优势学科和专业两张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</w:rPr>
        <w:t>清单</w:t>
      </w:r>
      <w:r>
        <w:rPr>
          <w:rFonts w:hint="eastAsia" w:asci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持续实施重大科技创新攻关任务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鼓励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/>
        </w:rPr>
        <w:t>先进装备企业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加快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行业应用软件、</w:t>
      </w:r>
      <w:r>
        <w:rPr>
          <w:rFonts w:hint="eastAsia" w:ascii="仿宋_GB2312" w:eastAsia="仿宋_GB2312" w:cs="仿宋_GB2312"/>
          <w:kern w:val="2"/>
          <w:sz w:val="32"/>
          <w:szCs w:val="32"/>
          <w:lang w:val="en-US" w:eastAsia="zh-CN"/>
        </w:rPr>
        <w:t>工业操作系统、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/>
        </w:rPr>
        <w:t>信息化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装备研发与</w:t>
      </w:r>
      <w:r>
        <w:rPr>
          <w:rFonts w:hint="eastAsia" w:ascii="仿宋_GB2312" w:eastAsia="仿宋_GB2312" w:cs="仿宋_GB2312"/>
          <w:kern w:val="2"/>
          <w:sz w:val="32"/>
          <w:szCs w:val="32"/>
          <w:lang w:val="en-US" w:eastAsia="zh-CN"/>
        </w:rPr>
        <w:t>替代，引导具备条件的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企业</w:t>
      </w:r>
      <w:r>
        <w:rPr>
          <w:rFonts w:hint="eastAsia" w:ascii="仿宋_GB2312" w:eastAsia="仿宋_GB2312" w:cs="仿宋_GB2312"/>
          <w:kern w:val="2"/>
          <w:sz w:val="32"/>
          <w:szCs w:val="32"/>
          <w:lang w:val="en-US" w:eastAsia="zh-CN" w:bidi="ar-SA"/>
        </w:rPr>
        <w:t>深入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开展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bidi="ar-SA"/>
        </w:rPr>
        <w:t>稀土顺丁橡胶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-SA"/>
        </w:rPr>
        <w:t>、</w:t>
      </w:r>
      <w:r>
        <w:rPr>
          <w:rFonts w:hint="eastAsia" w:ascii="仿宋_GB2312" w:eastAsia="仿宋_GB2312" w:cs="仿宋_GB2312"/>
          <w:kern w:val="2"/>
          <w:sz w:val="32"/>
          <w:szCs w:val="32"/>
          <w:lang w:val="en-US" w:eastAsia="zh-CN" w:bidi="ar-SA"/>
        </w:rPr>
        <w:t>溶聚丁苯橡胶、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铁系梳枝丁戊橡胶</w:t>
      </w:r>
      <w:r>
        <w:rPr>
          <w:rFonts w:hint="eastAsia" w:ascii="仿宋_GB2312" w:eastAsia="仿宋_GB2312" w:cs="仿宋_GB2312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bidi="ar-SA"/>
        </w:rPr>
        <w:t>环氧化异戊橡胶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-SA"/>
        </w:rPr>
        <w:t>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bidi="ar-SA"/>
        </w:rPr>
        <w:t>液体聚丁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-SA"/>
        </w:rPr>
        <w:t>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fill="auto"/>
          <w:lang w:bidi="ar-SA"/>
        </w:rPr>
        <w:t>烯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shd w:val="clear" w:fill="auto"/>
          <w:lang w:bidi="ar-SA"/>
        </w:rPr>
        <w:t>橡胶</w:t>
      </w:r>
      <w:r>
        <w:rPr>
          <w:rFonts w:hint="eastAsia" w:ascii="仿宋_GB2312" w:eastAsia="仿宋_GB2312" w:cs="仿宋_GB2312"/>
          <w:color w:val="auto"/>
          <w:kern w:val="2"/>
          <w:sz w:val="32"/>
          <w:szCs w:val="32"/>
          <w:shd w:val="clear" w:fill="auto"/>
          <w:lang w:eastAsia="zh-CN" w:bidi="ar-SA"/>
        </w:rPr>
        <w:t>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u w:val="none"/>
          <w:lang w:val="en-US" w:eastAsia="zh-CN" w:bidi="ar-SA"/>
        </w:rPr>
        <w:t>液体丁苯橡胶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shd w:val="clear" w:fill="auto"/>
        </w:rPr>
        <w:t>等高性能合成橡胶</w:t>
      </w:r>
      <w:r>
        <w:rPr>
          <w:rFonts w:hint="eastAsia" w:ascii="仿宋_GB2312" w:eastAsia="仿宋_GB2312" w:cs="仿宋_GB2312"/>
          <w:color w:val="auto"/>
          <w:kern w:val="2"/>
          <w:sz w:val="32"/>
          <w:szCs w:val="32"/>
          <w:shd w:val="clear" w:fill="auto"/>
          <w:lang w:eastAsia="zh-CN"/>
        </w:rPr>
        <w:t>以及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u w:val="none"/>
          <w:lang w:val="en-US" w:eastAsia="zh-CN" w:bidi="ar-SA"/>
        </w:rPr>
        <w:t>低VOC橡胶助剂、高分散无机纳米改性材料、新型环保防老剂（替代6PPD）</w:t>
      </w:r>
      <w:r>
        <w:rPr>
          <w:rFonts w:hint="eastAsia" w:asci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>、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shd w:val="clear" w:fill="auto"/>
        </w:rPr>
        <w:t>白炭黑、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shd w:val="clear" w:fill="auto"/>
          <w:lang w:val="en-US" w:eastAsia="zh-CN"/>
        </w:rPr>
        <w:t>石墨烯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shd w:val="clear" w:fill="auto"/>
        </w:rPr>
        <w:t>、</w:t>
      </w:r>
      <w:r>
        <w:rPr>
          <w:rFonts w:hint="eastAsia" w:ascii="仿宋_GB2312" w:eastAsia="仿宋_GB2312" w:cs="仿宋_GB2312"/>
          <w:color w:val="auto"/>
          <w:kern w:val="2"/>
          <w:sz w:val="32"/>
          <w:szCs w:val="32"/>
          <w:shd w:val="clear" w:fill="auto"/>
          <w:lang w:val="en-US" w:eastAsia="zh-CN"/>
        </w:rPr>
        <w:t>生物基硅碳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轮胎用自修复橡胶、裂解炭黑改性和纤维改性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shd w:val="clear" w:fill="auto"/>
        </w:rPr>
        <w:t>等</w:t>
      </w:r>
      <w:r>
        <w:rPr>
          <w:rFonts w:hint="eastAsia" w:ascii="仿宋_GB2312" w:eastAsia="仿宋_GB2312" w:cs="仿宋_GB2312"/>
          <w:color w:val="auto"/>
          <w:kern w:val="2"/>
          <w:sz w:val="32"/>
          <w:szCs w:val="32"/>
          <w:shd w:val="clear" w:fill="auto"/>
          <w:lang w:val="en-US" w:eastAsia="zh-CN"/>
        </w:rPr>
        <w:t>复合新材料制备品的研究与应用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仿宋_GB2312" w:eastAsia="仿宋_GB2312" w:cs="仿宋_GB2312"/>
          <w:color w:val="auto"/>
          <w:kern w:val="2"/>
          <w:sz w:val="32"/>
          <w:szCs w:val="32"/>
          <w:shd w:val="clear" w:fill="auto"/>
          <w:lang w:val="en-US" w:eastAsia="zh-CN"/>
        </w:rPr>
        <w:t>攻克一批“卡脖子”关键核心技术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shd w:val="clear" w:fill="auto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打破国外技术壁垒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shd w:val="clear" w:fill="auto"/>
          <w:lang w:val="en-US" w:eastAsia="zh-CN" w:bidi="ar-SA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auto"/>
        </w:rPr>
        <w:t>发布前沿技术应用推广目录，</w:t>
      </w:r>
      <w:r>
        <w:rPr>
          <w:rFonts w:hint="eastAsia" w:ascii="仿宋_GB2312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auto"/>
          <w:lang w:val="en-US" w:eastAsia="zh-CN"/>
        </w:rPr>
        <w:t>组织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auto"/>
        </w:rPr>
        <w:t>成果对接</w:t>
      </w:r>
      <w:r>
        <w:rPr>
          <w:rFonts w:hint="eastAsia" w:ascii="仿宋_GB2312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auto"/>
          <w:lang w:val="en-US" w:eastAsia="zh-CN"/>
        </w:rPr>
        <w:t>活动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auto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</w:rPr>
        <w:t>促进转化</w:t>
      </w:r>
      <w:r>
        <w:rPr>
          <w:rFonts w:hint="eastAsia" w:asci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/>
        </w:rPr>
        <w:t>落地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</w:rPr>
        <w:t>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单位：省工业和信息化厅</w:t>
      </w:r>
      <w:r>
        <w:rPr>
          <w:rFonts w:hint="eastAsia" w:ascii="仿宋_GB2312" w:eastAsia="仿宋_GB2312" w:cs="仿宋_GB2312"/>
          <w:kern w:val="2"/>
          <w:sz w:val="32"/>
          <w:szCs w:val="32"/>
          <w:lang w:val="en-US" w:eastAsia="zh-CN"/>
        </w:rPr>
        <w:t>、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省科技厅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0"/>
          <w:sz w:val="32"/>
          <w:szCs w:val="32"/>
          <w:shd w:val="clear" w:fill="auto"/>
        </w:rPr>
        <w:t>按职责分工负责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扩大高端产品供给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。</w:t>
      </w:r>
      <w:r>
        <w:rPr>
          <w:rFonts w:hint="eastAsia" w:asci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val="en-US" w:eastAsia="zh-CN"/>
        </w:rPr>
        <w:t>建立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</w:rPr>
        <w:t>高端</w:t>
      </w:r>
      <w:r>
        <w:rPr>
          <w:rFonts w:hint="eastAsia" w:asci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val="en-US" w:eastAsia="zh-CN"/>
        </w:rPr>
        <w:t>轮胎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</w:rPr>
        <w:t>“四个一批”项目库</w:t>
      </w:r>
      <w:r>
        <w:rPr>
          <w:rFonts w:hint="eastAsia" w:asci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eastAsia="zh-CN"/>
        </w:rPr>
        <w:t>，</w:t>
      </w:r>
      <w:r>
        <w:rPr>
          <w:rFonts w:hint="eastAsia" w:ascii="仿宋_GB2312" w:eastAsia="仿宋_GB2312" w:cs="仿宋_GB2312"/>
          <w:kern w:val="2"/>
          <w:sz w:val="32"/>
          <w:szCs w:val="32"/>
          <w:lang w:val="en-US" w:eastAsia="zh-CN"/>
        </w:rPr>
        <w:t>支持企业加快高端轮胎项目建设，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调整优化产品结构,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大力发展</w:t>
      </w:r>
      <w:r>
        <w:rPr>
          <w:rFonts w:hint="eastAsia" w:ascii="仿宋_GB2312" w:eastAsia="仿宋_GB2312" w:cs="仿宋_GB2312"/>
          <w:kern w:val="2"/>
          <w:sz w:val="32"/>
          <w:szCs w:val="32"/>
          <w:lang w:val="en-US" w:eastAsia="zh-CN"/>
        </w:rPr>
        <w:t>新一代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高性能</w:t>
      </w:r>
      <w:r>
        <w:rPr>
          <w:rFonts w:hint="eastAsia" w:ascii="仿宋_GB2312" w:eastAsia="仿宋_GB2312" w:cs="仿宋_GB2312"/>
          <w:kern w:val="2"/>
          <w:sz w:val="32"/>
          <w:szCs w:val="32"/>
          <w:lang w:val="en-US" w:eastAsia="zh-CN" w:bidi="ar-SA"/>
        </w:rPr>
        <w:t>半钢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子午线轮胎（55 系列以下，滚动阻力系数≤</w:t>
      </w:r>
      <w:r>
        <w:rPr>
          <w:rFonts w:hint="eastAsia" w:ascii="仿宋_GB2312" w:eastAsia="仿宋_GB2312" w:cs="仿宋_GB2312"/>
          <w:kern w:val="2"/>
          <w:sz w:val="32"/>
          <w:szCs w:val="32"/>
          <w:lang w:val="en-US" w:eastAsia="zh-CN" w:bidi="ar-SA"/>
        </w:rPr>
        <w:t>9.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0N/kN、湿路面相对抓着系数≥1.25）</w:t>
      </w:r>
      <w:r>
        <w:rPr>
          <w:rFonts w:hint="eastAsia" w:ascii="仿宋_GB2312" w:eastAsia="仿宋_GB2312" w:cs="仿宋_GB2312"/>
          <w:kern w:val="2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高性能全钢子午</w:t>
      </w:r>
      <w:r>
        <w:rPr>
          <w:rFonts w:hint="eastAsia" w:ascii="仿宋_GB2312" w:eastAsia="仿宋_GB2312" w:cs="仿宋_GB2312"/>
          <w:kern w:val="2"/>
          <w:sz w:val="32"/>
          <w:szCs w:val="32"/>
          <w:lang w:val="en-US" w:eastAsia="zh-CN"/>
        </w:rPr>
        <w:t>线轮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胎（滚动阻力系数≤4.0，轮胎磨耗单耗≥20000km/mm，湿路面相对抓着系数≥1.25）、自修复安全轮胎</w:t>
      </w:r>
      <w:r>
        <w:rPr>
          <w:rFonts w:hint="eastAsia" w:ascii="仿宋_GB2312" w:eastAsia="仿宋_GB2312" w:cs="仿宋_GB2312"/>
          <w:kern w:val="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航空轮胎、巨型工程子午胎（49 吋以上）、农用子午胎及配套专用材料和设备</w:t>
      </w:r>
      <w:r>
        <w:rPr>
          <w:rFonts w:hint="eastAsia" w:ascii="仿宋_GB2312" w:eastAsia="仿宋_GB2312" w:cs="仿宋_GB2312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加快超耐磨、低滚阻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低噪音、轻量化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电动车及新能源汽车轮胎、非充气轮胎、宽基轮胎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、巨型工程胎等高端轮胎产品</w:t>
      </w:r>
      <w:r>
        <w:rPr>
          <w:rFonts w:hint="eastAsia" w:ascii="仿宋_GB2312" w:eastAsia="仿宋_GB2312" w:cs="仿宋_GB2312"/>
          <w:kern w:val="2"/>
          <w:sz w:val="32"/>
          <w:szCs w:val="32"/>
          <w:lang w:val="en-US" w:eastAsia="zh-CN"/>
        </w:rPr>
        <w:t>的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生产研发和推广应用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，提升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国内新能源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汽车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、非公路轮胎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市场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占有率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省工业和信息化厅、省发展改革委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spacing w:val="0"/>
          <w:sz w:val="32"/>
          <w:szCs w:val="32"/>
          <w:shd w:val="clear"/>
        </w:rPr>
        <w:t>按职责分工负责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实施产业提质增效升级行动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培育优质企业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鼓励企业间战略合作和跨行业、跨区域兼并重组，提高规模化、集约化经营水平，支持示范带动强、规模体量大、发展潜力足的轮胎生产企业争创省级制造业领航培育企业。加大行业优质企业培育力度，在科技研发、项目审批、生产经营等领域加强服务保障，引导企业做大做强做精，提升创新能力和专业化水平，打造一批具有行业影响力的创新型领军企业和专精特新企业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省工业和信息化厅牵头，省科技厅、省发展改革委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spacing w:val="0"/>
          <w:sz w:val="32"/>
          <w:szCs w:val="32"/>
          <w:shd w:val="clear"/>
        </w:rPr>
        <w:t>按职责分工负责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643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 w:bidi="ar"/>
        </w:rPr>
        <w:t>推动集群化发展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bidi="ar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"/>
        </w:rPr>
        <w:t>坚持集聚集约、区域联动、错位发展，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auto"/>
          <w:lang w:val="en-US" w:eastAsia="zh-CN" w:bidi="ar"/>
        </w:rPr>
        <w:t>统筹区域规划布局，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"/>
        </w:rPr>
        <w:t>完善集群协同创新网络，支持半岛、鲁北两大轮胎产业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bidi="ar"/>
        </w:rPr>
        <w:t>集群创建国家级集群</w:t>
      </w:r>
      <w:r>
        <w:rPr>
          <w:rFonts w:hint="eastAsia" w:ascii="仿宋_GB2312" w:eastAsia="仿宋_GB2312" w:cs="仿宋_GB2312"/>
          <w:b w:val="0"/>
          <w:bCs w:val="0"/>
          <w:sz w:val="32"/>
          <w:szCs w:val="32"/>
          <w:lang w:eastAsia="zh-CN" w:bidi="ar"/>
        </w:rPr>
        <w:t>，</w:t>
      </w:r>
      <w:r>
        <w:rPr>
          <w:rFonts w:hint="eastAsia" w:ascii="仿宋_GB2312" w:eastAsia="仿宋_GB2312" w:cs="仿宋_GB2312"/>
          <w:b w:val="0"/>
          <w:bCs w:val="0"/>
          <w:sz w:val="32"/>
          <w:szCs w:val="32"/>
          <w:lang w:val="en-US" w:eastAsia="zh-CN" w:bidi="ar"/>
        </w:rPr>
        <w:t>建设国际一流高端橡胶轮胎产业基地</w:t>
      </w:r>
      <w:r>
        <w:rPr>
          <w:rFonts w:hint="eastAsia" w:asci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 w:bidi="ar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auto"/>
          <w:lang w:val="en-US" w:eastAsia="zh-CN" w:bidi="ar"/>
        </w:rPr>
        <w:t>青岛、烟台、威海为主的半岛轮胎产业集群，发挥高端轮胎制造企业集聚优势，以技术自主化、制造智能化、品牌国际化为目标，坚持标准引领、创新驱动，全面提升产业链供应链创新链的韧性和安全水平。东营、潍坊为核心的鲁北轮胎产业集群，瞄准价值链提升，以高端项目为牵引，不断优化产品结构，着力提高产品</w:t>
      </w:r>
      <w:r>
        <w:rPr>
          <w:rFonts w:hint="eastAsia" w:asci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auto"/>
          <w:lang w:val="en-US" w:eastAsia="zh-CN" w:bidi="ar"/>
        </w:rPr>
        <w:t>知名度、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auto"/>
          <w:lang w:val="en-US" w:eastAsia="zh-CN" w:bidi="ar"/>
        </w:rPr>
        <w:t>附加值与竞争力，实现集群优质化发展。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省发展改革委、省工业和信息化厅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spacing w:val="0"/>
          <w:sz w:val="32"/>
          <w:szCs w:val="32"/>
          <w:shd w:val="clear"/>
        </w:rPr>
        <w:t>按职责分工负责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 w:cs="仿宋_GB2312"/>
          <w:b/>
          <w:bCs/>
          <w:color w:val="auto"/>
          <w:sz w:val="32"/>
          <w:szCs w:val="32"/>
          <w:highlight w:val="none"/>
          <w:shd w:val="clear" w:fill="auto"/>
          <w:lang w:val="en-US" w:eastAsia="zh-CN" w:bidi="ar"/>
        </w:rPr>
        <w:t>促进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shd w:val="clear" w:fill="auto"/>
          <w:lang w:val="en-US" w:eastAsia="zh-CN" w:bidi="ar"/>
        </w:rPr>
        <w:t>产业链融合。</w:t>
      </w:r>
      <w:r>
        <w:rPr>
          <w:rFonts w:hint="eastAsia" w:ascii="仿宋_GB2312" w:eastAsia="仿宋_GB2312" w:cs="仿宋_GB2312"/>
          <w:b w:val="0"/>
          <w:bCs w:val="0"/>
          <w:color w:val="auto"/>
          <w:sz w:val="32"/>
          <w:szCs w:val="32"/>
          <w:highlight w:val="none"/>
          <w:shd w:val="clear" w:fill="auto"/>
          <w:lang w:val="en-US" w:eastAsia="zh-CN" w:bidi="ar"/>
        </w:rPr>
        <w:t>实施融链固链行动，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auto"/>
          <w:lang w:bidi="ar"/>
        </w:rPr>
        <w:t>谋划落地一批补链强链重点项目</w:t>
      </w:r>
      <w:r>
        <w:rPr>
          <w:rFonts w:hint="eastAsia" w:asci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eastAsia="zh-CN" w:bidi="ar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eastAsia="zh-CN" w:bidi="ar"/>
        </w:rPr>
        <w:t>促进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fill="auto"/>
          <w:lang w:val="en-US" w:eastAsia="zh-CN" w:bidi="ar"/>
        </w:rPr>
        <w:t>产业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fill="auto"/>
          <w:lang w:eastAsia="zh-CN" w:bidi="ar"/>
        </w:rPr>
        <w:t>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fill="auto"/>
          <w:lang w:bidi="ar"/>
        </w:rPr>
        <w:t>上下游企业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fill="auto"/>
          <w:lang w:eastAsia="zh-CN" w:bidi="ar"/>
        </w:rPr>
        <w:t>协同融合发展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shd w:val="clear" w:fill="auto"/>
          <w:lang w:eastAsia="zh-CN" w:bidi="ar"/>
        </w:rPr>
        <w:t>。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shd w:val="clear" w:fill="auto"/>
          <w:lang w:val="en-US" w:eastAsia="zh-CN" w:bidi="ar"/>
        </w:rPr>
        <w:t>推动新材料产业扩容倍增，支持产业链</w:t>
      </w:r>
      <w:r>
        <w:rPr>
          <w:rFonts w:hint="eastAsia" w:asci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val="en-US" w:eastAsia="zh-CN" w:bidi="ar"/>
        </w:rPr>
        <w:t>上游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shd w:val="clear" w:fill="auto"/>
          <w:lang w:val="en-US" w:eastAsia="zh-CN" w:bidi="ar"/>
        </w:rPr>
        <w:t>炼化、原材料等有关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fill="auto"/>
          <w:lang w:val="en-US" w:eastAsia="zh-CN" w:bidi="ar"/>
        </w:rPr>
        <w:t>企业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shd w:val="clear" w:fill="auto"/>
          <w:lang w:bidi="ar"/>
        </w:rPr>
        <w:t>加快新型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fill="auto"/>
          <w:lang w:val="en-US" w:eastAsia="zh-CN" w:bidi="ar"/>
        </w:rPr>
        <w:t>合成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shd w:val="clear" w:fill="auto"/>
          <w:lang w:bidi="ar"/>
        </w:rPr>
        <w:t>橡胶产业化进程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fill="auto"/>
          <w:lang w:eastAsia="zh-CN" w:bidi="ar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fill="auto"/>
          <w:lang w:val="en-US" w:eastAsia="zh-CN" w:bidi="ar"/>
        </w:rPr>
        <w:t>研发生产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shd w:val="clear" w:fill="auto"/>
          <w:lang w:val="en-US" w:eastAsia="zh-CN" w:bidi="ar"/>
        </w:rPr>
        <w:t>符合国际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shd w:val="clear" w:fill="auto"/>
          <w:lang w:bidi="ar"/>
        </w:rPr>
        <w:t>环保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shd w:val="clear" w:fill="auto"/>
          <w:lang w:val="en-US" w:eastAsia="zh-CN" w:bidi="ar"/>
        </w:rPr>
        <w:t>标准的新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shd w:val="clear" w:fill="auto"/>
          <w:lang w:bidi="ar"/>
        </w:rPr>
        <w:t>型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shd w:val="clear" w:fill="auto"/>
          <w:lang w:val="en-US" w:eastAsia="zh-CN" w:bidi="ar"/>
        </w:rPr>
        <w:t>橡胶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shd w:val="clear" w:fill="auto"/>
          <w:lang w:bidi="ar"/>
        </w:rPr>
        <w:t>助剂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fill="auto"/>
          <w:lang w:eastAsia="zh-CN" w:bidi="ar"/>
        </w:rPr>
        <w:t>，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shd w:val="clear" w:fill="auto"/>
          <w:lang w:bidi="ar"/>
        </w:rPr>
        <w:t>开发新型轮胎骨架材料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fill="auto"/>
          <w:lang w:eastAsia="zh-CN" w:bidi="ar"/>
        </w:rPr>
        <w:t>和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shd w:val="clear" w:fill="auto"/>
          <w:lang w:val="en-US" w:eastAsia="zh-CN" w:bidi="ar"/>
        </w:rPr>
        <w:t>高端轮胎模具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shd w:val="clear" w:fill="auto"/>
          <w:lang w:bidi="ar"/>
        </w:rPr>
        <w:t>，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shd w:val="clear" w:fill="auto"/>
          <w:lang w:val="en-US" w:eastAsia="zh-CN" w:bidi="ar"/>
        </w:rPr>
        <w:t>加快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auto"/>
          <w:lang w:bidi="ar"/>
        </w:rPr>
        <w:t>形成</w:t>
      </w:r>
      <w:r>
        <w:rPr>
          <w:rFonts w:hint="eastAsia" w:asci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val="en-US" w:eastAsia="zh-CN" w:bidi="ar"/>
        </w:rPr>
        <w:t>全省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auto"/>
          <w:lang w:val="en-US" w:eastAsia="zh-CN" w:bidi="ar"/>
        </w:rPr>
        <w:t>轮胎</w:t>
      </w:r>
      <w:r>
        <w:rPr>
          <w:rFonts w:hint="eastAsia" w:asci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val="en-US" w:eastAsia="zh-CN" w:bidi="ar"/>
        </w:rPr>
        <w:t>原材料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auto"/>
          <w:lang w:val="en-US" w:eastAsia="zh-CN" w:bidi="ar"/>
        </w:rPr>
        <w:t>供应链一站式</w:t>
      </w:r>
      <w:r>
        <w:rPr>
          <w:rFonts w:hint="eastAsia" w:asci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val="en-US" w:eastAsia="zh-CN" w:bidi="ar"/>
        </w:rPr>
        <w:t>配套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auto"/>
          <w:lang w:val="en-US" w:eastAsia="zh-CN" w:bidi="ar"/>
        </w:rPr>
        <w:t>、</w:t>
      </w:r>
      <w:r>
        <w:rPr>
          <w:rFonts w:hint="eastAsia" w:asci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val="en-US" w:eastAsia="zh-CN" w:bidi="ar"/>
        </w:rPr>
        <w:t>产业链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auto"/>
          <w:lang w:val="en-US" w:eastAsia="zh-CN" w:bidi="ar"/>
        </w:rPr>
        <w:t>一体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val="en-US" w:eastAsia="zh-CN" w:bidi="ar"/>
        </w:rPr>
        <w:t>化</w:t>
      </w:r>
      <w:r>
        <w:rPr>
          <w:rFonts w:hint="eastAsia" w:asci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val="en-US" w:eastAsia="zh-CN" w:bidi="ar"/>
        </w:rPr>
        <w:t>创新体系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bidi="ar"/>
        </w:rPr>
        <w:t>。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shd w:val="clear" w:fill="auto"/>
          <w:lang w:val="en-US" w:eastAsia="zh-CN" w:bidi="ar"/>
        </w:rPr>
        <w:t>支持省内外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fill="auto"/>
          <w:lang w:bidi="ar"/>
        </w:rPr>
        <w:t>汽车和装备企业与轮胎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fill="auto"/>
          <w:lang w:val="en-US" w:eastAsia="zh-CN" w:bidi="ar"/>
        </w:rPr>
        <w:t>制造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fill="auto"/>
          <w:lang w:bidi="ar"/>
        </w:rPr>
        <w:t>企业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shd w:val="clear" w:fill="auto"/>
          <w:lang w:val="en-US" w:eastAsia="zh-CN" w:bidi="ar"/>
        </w:rPr>
        <w:t>开展战略合作，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fill="auto"/>
          <w:lang w:bidi="ar"/>
        </w:rPr>
        <w:t>提高省内轮胎配套率。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举办</w:t>
      </w:r>
      <w:r>
        <w:rPr>
          <w:rFonts w:hint="eastAsia" w:ascii="仿宋_GB2312" w:eastAsia="仿宋_GB2312" w:cs="仿宋_GB2312"/>
          <w:kern w:val="2"/>
          <w:sz w:val="32"/>
          <w:szCs w:val="32"/>
          <w:lang w:val="en-US" w:eastAsia="zh-CN" w:bidi="ar-SA"/>
        </w:rPr>
        <w:t>山东省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轮胎行业产业链</w:t>
      </w:r>
      <w:r>
        <w:rPr>
          <w:rFonts w:hint="eastAsia" w:ascii="仿宋_GB2312" w:eastAsia="仿宋_GB2312" w:cs="仿宋_GB2312"/>
          <w:kern w:val="2"/>
          <w:sz w:val="32"/>
          <w:szCs w:val="32"/>
          <w:lang w:val="en-US" w:eastAsia="zh-CN" w:bidi="ar-SA"/>
        </w:rPr>
        <w:t>科技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创新</w:t>
      </w:r>
      <w:r>
        <w:rPr>
          <w:rFonts w:hint="eastAsia" w:ascii="仿宋_GB2312" w:eastAsia="仿宋_GB2312" w:cs="仿宋_GB2312"/>
          <w:kern w:val="2"/>
          <w:sz w:val="32"/>
          <w:szCs w:val="32"/>
          <w:lang w:val="en-US" w:eastAsia="zh-CN" w:bidi="ar-SA"/>
        </w:rPr>
        <w:t>高端论坛，引导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省内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val="en-US" w:eastAsia="zh-CN" w:bidi="ar"/>
        </w:rPr>
        <w:t>头部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bidi="ar"/>
        </w:rPr>
        <w:t>轮胎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 w:bidi="ar"/>
        </w:rPr>
        <w:t>制造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 w:bidi="ar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 w:bidi="ar"/>
        </w:rPr>
        <w:t>材料生产和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bidi="ar"/>
        </w:rPr>
        <w:t>汽车装备企业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val="en-US" w:eastAsia="zh-CN" w:bidi="ar"/>
        </w:rPr>
        <w:t>沟通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 w:bidi="ar"/>
        </w:rPr>
        <w:t>合作，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val="en-US" w:eastAsia="zh-CN" w:bidi="ar"/>
        </w:rPr>
        <w:t>实现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 w:bidi="ar"/>
        </w:rPr>
        <w:t>信息、技术、成果共享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val="en-US" w:eastAsia="zh-CN" w:bidi="ar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fill="auto"/>
          <w:lang w:bidi="ar"/>
        </w:rPr>
        <w:t>到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shd w:val="clear" w:fill="auto"/>
          <w:lang w:eastAsia="zh-CN" w:bidi="ar"/>
        </w:rPr>
        <w:t>2027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fill="auto"/>
          <w:lang w:bidi="ar"/>
        </w:rPr>
        <w:t>年，培育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shd w:val="clear" w:fill="auto"/>
          <w:lang w:val="en-US" w:eastAsia="zh-CN" w:bidi="ar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fill="auto"/>
          <w:lang w:bidi="ar"/>
        </w:rPr>
        <w:t>家以上</w:t>
      </w:r>
      <w:r>
        <w:rPr>
          <w:rFonts w:hint="eastAsia" w:ascii="仿宋_GB2312" w:hAnsi="仿宋_GB2312" w:eastAsia="仿宋_GB2312" w:cs="仿宋_GB2312"/>
          <w:sz w:val="32"/>
          <w:szCs w:val="32"/>
        </w:rPr>
        <w:t>集成能力和带动作用强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“链主”企业。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省工业和信息化厅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643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保障供应链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安全。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积极</w:t>
      </w:r>
      <w:r>
        <w:rPr>
          <w:rFonts w:hint="eastAsia" w:ascii="仿宋_GB2312" w:hAnsi="仿宋_GB2312" w:eastAsia="仿宋_GB2312" w:cs="仿宋_GB2312"/>
          <w:sz w:val="32"/>
          <w:szCs w:val="32"/>
        </w:rPr>
        <w:t>拓展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天然橡胶</w:t>
      </w:r>
      <w:r>
        <w:rPr>
          <w:rFonts w:hint="eastAsia" w:ascii="仿宋_GB2312" w:hAnsi="仿宋_GB2312" w:eastAsia="仿宋_GB2312" w:cs="仿宋_GB2312"/>
          <w:sz w:val="32"/>
          <w:szCs w:val="32"/>
        </w:rPr>
        <w:t>供给渠道，</w:t>
      </w:r>
      <w:r>
        <w:rPr>
          <w:rFonts w:hint="eastAsia" w:asci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适度扩大储备规模，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推动国际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橡胶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资源开发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协作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探索建立战略性资源评价及预收储机制，加快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构建自主可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控、安全高效的产业链</w:t>
      </w:r>
      <w:r>
        <w:rPr>
          <w:rFonts w:hint="eastAsia" w:ascii="仿宋_GB2312" w:hAnsi="仿宋_GB2312" w:eastAsia="仿宋_GB2312" w:cs="仿宋_GB2312"/>
          <w:sz w:val="32"/>
          <w:szCs w:val="32"/>
        </w:rPr>
        <w:t>供给体系</w:t>
      </w:r>
      <w:r>
        <w:rPr>
          <w:rFonts w:hint="eastAsia" w:asci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  <w:lang w:val="en-US" w:eastAsia="zh-CN"/>
        </w:rPr>
        <w:t>。</w:t>
      </w:r>
      <w:r>
        <w:rPr>
          <w:rFonts w:hint="eastAsia" w:ascii="仿宋_GB2312" w:eastAsia="仿宋_GB2312" w:cs="仿宋_GB2312"/>
          <w:i w:val="0"/>
          <w:caps w:val="0"/>
          <w:spacing w:val="0"/>
          <w:sz w:val="32"/>
          <w:szCs w:val="32"/>
          <w:lang w:eastAsia="zh-CN"/>
        </w:rPr>
        <w:t>加强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产业链供应链关键节点</w:t>
      </w:r>
      <w:r>
        <w:rPr>
          <w:rFonts w:hint="eastAsia" w:asci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安全防护，</w:t>
      </w:r>
      <w:r>
        <w:rPr>
          <w:rFonts w:hint="eastAsia" w:asci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支持行业协会、重点企业搭建产业链供需对接平台，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通过物联网、数字资产、区块链等</w:t>
      </w:r>
      <w:r>
        <w:rPr>
          <w:rFonts w:hint="eastAsia" w:asci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形式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，</w:t>
      </w:r>
      <w:r>
        <w:rPr>
          <w:rFonts w:hint="eastAsia" w:asci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提升</w:t>
      </w:r>
      <w:r>
        <w:rPr>
          <w:rFonts w:hint="eastAsia" w:asci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原材料保供对接服务能力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。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省工业和信息化厅、省商务厅、省发展改革委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spacing w:val="0"/>
          <w:sz w:val="32"/>
          <w:szCs w:val="32"/>
          <w:shd w:val="clear"/>
        </w:rPr>
        <w:t>按职责分工负责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</w:p>
    <w:p>
      <w:pPr>
        <w:numPr>
          <w:ilvl w:val="0"/>
          <w:numId w:val="1"/>
        </w:numPr>
        <w:snapToGrid/>
        <w:spacing w:afterLines="0" w:line="56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实施数智协同转型提标行动</w:t>
      </w:r>
    </w:p>
    <w:p>
      <w:pPr>
        <w:numPr>
          <w:ilvl w:val="-1"/>
          <w:numId w:val="0"/>
        </w:numPr>
        <w:adjustRightInd/>
        <w:snapToGrid/>
        <w:spacing w:afterLines="0" w:line="560" w:lineRule="exact"/>
        <w:ind w:firstLine="643" w:firstLineChars="200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推动数字化转型。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充分发挥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轮胎行业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国家智能制造示范工厂带动作用，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引领</w:t>
      </w:r>
      <w:r>
        <w:rPr>
          <w:rFonts w:hint="eastAsia" w:ascii="仿宋_GB2312" w:eastAsia="仿宋_GB2312" w:cs="仿宋_GB2312"/>
          <w:b w:val="0"/>
          <w:bCs w:val="0"/>
          <w:sz w:val="32"/>
          <w:szCs w:val="32"/>
        </w:rPr>
        <w:t>数字技术集成应用创新，</w:t>
      </w:r>
      <w:r>
        <w:rPr>
          <w:rFonts w:hint="eastAsia" w:ascii="仿宋_GB2312" w:eastAsia="仿宋_GB2312" w:cs="仿宋_GB2312"/>
          <w:sz w:val="32"/>
          <w:szCs w:val="32"/>
        </w:rPr>
        <w:t>开展多场景、多层次试点示范，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引导企业建立基于数字化系统的“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1+N</w:t>
      </w:r>
      <w:r>
        <w:rPr>
          <w:rFonts w:hint="default" w:ascii="仿宋_GB2312" w:eastAsia="仿宋_GB2312" w:cs="仿宋_GB2312"/>
          <w:sz w:val="32"/>
          <w:szCs w:val="32"/>
          <w:lang w:val="en-US" w:eastAsia="zh-CN"/>
        </w:rPr>
        <w:t>”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模式工业互联网平台，</w:t>
      </w:r>
      <w:r>
        <w:rPr>
          <w:rFonts w:hint="eastAsia" w:asci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auto"/>
          <w:lang w:val="en-US" w:eastAsia="zh-CN"/>
        </w:rPr>
        <w:t>推广使用轮胎射频识别技术（RFID）、轮胎生产制造执行系统（MES）、智能安全物联网</w:t>
      </w:r>
      <w:r>
        <w:rPr>
          <w:rFonts w:hint="eastAsia" w:ascii="仿宋_GB2312" w:hAnsi="仿宋_GB2312" w:eastAsia="仿宋_GB2312" w:cs="仿宋_GB2312"/>
          <w:sz w:val="32"/>
          <w:szCs w:val="32"/>
        </w:rPr>
        <w:t>、轮胎生产研发设计数字化管理系统</w:t>
      </w:r>
      <w:r>
        <w:rPr>
          <w:rFonts w:hint="eastAsia" w:asci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auto"/>
          <w:lang w:val="en-US" w:eastAsia="zh-CN"/>
        </w:rPr>
        <w:t>等信息技术，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  <w:t>推进</w:t>
      </w:r>
      <w:r>
        <w:rPr>
          <w:rFonts w:hint="eastAsia" w:asci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  <w:t>数字技术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  <w:t>在经营管理、研发设计、生产制造、仓储物流、销售服务等流程</w:t>
      </w:r>
      <w:r>
        <w:rPr>
          <w:rFonts w:hint="eastAsia" w:ascii="仿宋_GB2312" w:eastAsia="仿宋_GB2312" w:cs="仿宋_GB2312"/>
          <w:b w:val="0"/>
          <w:bCs w:val="0"/>
          <w:sz w:val="32"/>
          <w:szCs w:val="32"/>
        </w:rPr>
        <w:t>优化升级</w:t>
      </w:r>
      <w:r>
        <w:rPr>
          <w:rFonts w:hint="eastAsia" w:asci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lang w:eastAsia="zh-CN"/>
        </w:rPr>
        <w:t>、</w:t>
      </w:r>
      <w:r>
        <w:rPr>
          <w:rFonts w:hint="eastAsia" w:asci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  <w:t>广泛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  <w:t>应用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eastAsia="仿宋_GB2312" w:cs="仿宋_GB2312"/>
          <w:b w:val="0"/>
          <w:bCs w:val="0"/>
          <w:sz w:val="32"/>
          <w:szCs w:val="32"/>
        </w:rPr>
        <w:t>打造一批</w:t>
      </w:r>
      <w:r>
        <w:rPr>
          <w:rFonts w:hint="eastAsia" w:ascii="仿宋_GB2312" w:eastAsia="仿宋_GB2312" w:cs="仿宋_GB2312"/>
          <w:b w:val="0"/>
          <w:bCs w:val="0"/>
          <w:sz w:val="32"/>
          <w:szCs w:val="32"/>
          <w:lang w:val="en-US" w:eastAsia="zh-CN"/>
        </w:rPr>
        <w:t>数据驱动</w:t>
      </w:r>
      <w:r>
        <w:rPr>
          <w:rFonts w:hint="eastAsia" w:ascii="仿宋_GB2312" w:eastAsia="仿宋_GB2312" w:cs="仿宋_GB2312"/>
          <w:b w:val="0"/>
          <w:bCs w:val="0"/>
          <w:sz w:val="32"/>
          <w:szCs w:val="32"/>
        </w:rPr>
        <w:t>、</w:t>
      </w:r>
      <w:r>
        <w:rPr>
          <w:rFonts w:hint="eastAsia" w:ascii="仿宋_GB2312" w:eastAsia="仿宋_GB2312" w:cs="仿宋_GB2312"/>
          <w:b w:val="0"/>
          <w:bCs w:val="0"/>
          <w:sz w:val="32"/>
          <w:szCs w:val="32"/>
          <w:lang w:val="en-US" w:eastAsia="zh-CN"/>
        </w:rPr>
        <w:t>模型赋能、算力支撑</w:t>
      </w:r>
      <w:r>
        <w:rPr>
          <w:rFonts w:hint="eastAsia" w:ascii="仿宋_GB2312" w:eastAsia="仿宋_GB2312" w:cs="仿宋_GB2312"/>
          <w:b w:val="0"/>
          <w:bCs w:val="0"/>
          <w:sz w:val="32"/>
          <w:szCs w:val="32"/>
        </w:rPr>
        <w:t>型“晨星工厂”。</w:t>
      </w:r>
      <w:r>
        <w:rPr>
          <w:rFonts w:hint="eastAsia" w:ascii="仿宋_GB2312" w:eastAsia="仿宋_GB2312" w:cs="仿宋_GB2312"/>
          <w:color w:val="000000"/>
          <w:sz w:val="32"/>
          <w:szCs w:val="32"/>
          <w:u w:val="none"/>
          <w:shd w:val="clear" w:fill="auto"/>
          <w:lang w:val="en-US" w:eastAsia="zh-CN"/>
        </w:rPr>
        <w:t>组织企业参加数字化转型推介、工业互联网推广等“工赋山东”活动，推动企业加快数字化转型。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省工业和信息化厅、省科技厅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spacing w:val="0"/>
          <w:sz w:val="32"/>
          <w:szCs w:val="32"/>
          <w:shd w:val="clear"/>
        </w:rPr>
        <w:t>按职责分工负责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643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auto"/>
          <w:lang w:val="en-US" w:eastAsia="zh-CN"/>
        </w:rPr>
        <w:t>2</w:t>
      </w:r>
      <w:r>
        <w:rPr>
          <w:rFonts w:hint="eastAsia" w:asci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auto"/>
          <w:lang w:val="en-US" w:eastAsia="zh-CN"/>
        </w:rPr>
        <w:t>.</w:t>
      </w: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加快智能化改造。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筛选一批优质服务商，</w:t>
      </w:r>
      <w:r>
        <w:rPr>
          <w:rFonts w:hint="eastAsia" w:asci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  <w:lang w:val="en-US" w:eastAsia="zh-CN"/>
        </w:rPr>
        <w:t>健全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</w:rPr>
        <w:t>评估诊断和服务体系</w:t>
      </w:r>
      <w:r>
        <w:rPr>
          <w:rFonts w:hint="eastAsia" w:asci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  <w:lang w:eastAsia="zh-CN"/>
        </w:rPr>
        <w:t>，</w:t>
      </w:r>
      <w:r>
        <w:rPr>
          <w:rFonts w:hint="eastAsia" w:asci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  <w:lang w:val="en-US" w:eastAsia="zh-CN"/>
        </w:rPr>
        <w:t>推广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</w:rPr>
        <w:t>“顾问+雇员”方式，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帮助中小</w:t>
      </w:r>
      <w:r>
        <w:rPr>
          <w:rFonts w:hint="eastAsia" w:ascii="仿宋_GB2312" w:eastAsia="仿宋_GB2312" w:cs="仿宋_GB2312"/>
          <w:sz w:val="32"/>
          <w:szCs w:val="32"/>
        </w:rPr>
        <w:t>企业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制定智改</w:t>
      </w:r>
      <w:r>
        <w:rPr>
          <w:rFonts w:hint="eastAsia" w:ascii="仿宋_GB2312" w:eastAsia="仿宋_GB2312" w:cs="仿宋_GB2312"/>
          <w:sz w:val="32"/>
          <w:szCs w:val="32"/>
        </w:rPr>
        <w:t>方案</w:t>
      </w:r>
      <w:r>
        <w:rPr>
          <w:rFonts w:hint="eastAsia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auto"/>
          <w:lang w:eastAsia="zh-CN"/>
        </w:rPr>
        <w:t>。鼓励中小企业</w:t>
      </w:r>
      <w:r>
        <w:rPr>
          <w:rFonts w:hint="eastAsia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auto"/>
          <w:lang w:val="en-US" w:eastAsia="zh-CN"/>
        </w:rPr>
        <w:t>实施</w:t>
      </w:r>
      <w:r>
        <w:rPr>
          <w:rFonts w:hint="eastAsia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auto"/>
          <w:lang w:eastAsia="zh-CN"/>
        </w:rPr>
        <w:t>老旧设备更换，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</w:rPr>
        <w:t>推</w:t>
      </w:r>
      <w:r>
        <w:rPr>
          <w:rFonts w:hint="eastAsia" w:asci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  <w:lang w:eastAsia="zh-CN"/>
        </w:rPr>
        <w:t>进</w:t>
      </w:r>
      <w:r>
        <w:rPr>
          <w:rFonts w:hint="eastAsia" w:asci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  <w:lang w:val="en-US" w:eastAsia="zh-CN"/>
        </w:rPr>
        <w:t>装备换新、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</w:rPr>
        <w:t>生产换线</w:t>
      </w:r>
      <w:r>
        <w:rPr>
          <w:rFonts w:hint="eastAsia" w:asci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</w:rPr>
        <w:t>机器换人，</w:t>
      </w:r>
      <w:r>
        <w:rPr>
          <w:rFonts w:hint="eastAsia" w:asci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auto"/>
          <w:lang w:val="en-US" w:eastAsia="zh-CN"/>
        </w:rPr>
        <w:t>加快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fill="auto"/>
        </w:rPr>
        <w:t>湿法炼胶、化学炼胶工艺设备</w:t>
      </w:r>
      <w:r>
        <w:rPr>
          <w:rFonts w:hint="eastAsia" w:asci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auto"/>
          <w:lang w:val="en-US" w:eastAsia="zh-CN"/>
        </w:rPr>
        <w:t>、轮胎智能化成型设备、高能效数字硫化装备、高精度物料输送系统、轮胎成品检测装备等生产设备改造升级，</w:t>
      </w:r>
      <w:r>
        <w:rPr>
          <w:rFonts w:hint="eastAsia" w:ascii="仿宋_GB2312" w:eastAsia="仿宋_GB2312" w:cs="仿宋_GB2312"/>
          <w:color w:val="auto"/>
          <w:sz w:val="32"/>
          <w:szCs w:val="32"/>
          <w:shd w:val="clear" w:fill="auto"/>
        </w:rPr>
        <w:t>提升智能制造能力</w:t>
      </w:r>
      <w:r>
        <w:rPr>
          <w:rFonts w:hint="eastAsia" w:asci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auto"/>
          <w:lang w:val="en-US" w:eastAsia="zh-CN"/>
        </w:rPr>
        <w:t>，推动行业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auto"/>
        </w:rPr>
        <w:t>智能化</w:t>
      </w:r>
      <w:r>
        <w:rPr>
          <w:rFonts w:hint="eastAsia" w:asci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auto"/>
          <w:lang w:val="en-US" w:eastAsia="zh-CN"/>
        </w:rPr>
        <w:t>整体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auto"/>
        </w:rPr>
        <w:t>水平</w:t>
      </w:r>
      <w:r>
        <w:rPr>
          <w:rFonts w:hint="eastAsia" w:asci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auto"/>
          <w:lang w:val="en-US" w:eastAsia="zh-CN"/>
        </w:rPr>
        <w:t>跨进国内先进行列</w:t>
      </w:r>
      <w:r>
        <w:rPr>
          <w:rFonts w:hint="eastAsia" w:asci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auto"/>
          <w:lang w:eastAsia="zh-CN"/>
        </w:rPr>
        <w:t>。</w:t>
      </w:r>
      <w:r>
        <w:rPr>
          <w:rFonts w:hint="eastAsia" w:asci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auto"/>
          <w:lang w:val="en-US" w:eastAsia="zh-CN"/>
        </w:rPr>
        <w:t>推广智能化改造标杆企业先进经验做法，</w:t>
      </w:r>
      <w:r>
        <w:rPr>
          <w:rFonts w:hint="eastAsia" w:asci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  <w:lang w:val="en-US" w:eastAsia="zh-CN"/>
        </w:rPr>
        <w:t>示范引领企业</w:t>
      </w:r>
      <w:r>
        <w:rPr>
          <w:rFonts w:hint="eastAsia" w:asci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auto"/>
          <w:lang w:eastAsia="zh-CN"/>
        </w:rPr>
        <w:t>实施智能化改造</w:t>
      </w:r>
      <w:r>
        <w:rPr>
          <w:rFonts w:hint="eastAsia" w:asci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auto"/>
          <w:lang w:val="en-US" w:eastAsia="zh-CN"/>
        </w:rPr>
        <w:t>。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省工业和信息化厅、省发展改革委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spacing w:val="0"/>
          <w:sz w:val="32"/>
          <w:szCs w:val="32"/>
          <w:shd w:val="clear"/>
        </w:rPr>
        <w:t>按职责分工负责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</w:p>
    <w:p>
      <w:pPr>
        <w:snapToGrid/>
        <w:spacing w:afterLines="0" w:line="560" w:lineRule="exact"/>
        <w:ind w:firstLine="643" w:firstLineChars="200"/>
        <w:rPr>
          <w:rFonts w:hint="eastAsia" w:ascii="楷体_GB2312" w:hAnsi="楷体_GB2312" w:eastAsia="楷体_GB2312" w:cs="楷体_GB2312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.促进</w:t>
      </w:r>
      <w:r>
        <w:rPr>
          <w:rFonts w:hint="eastAsia" w:ascii="仿宋_GB2312" w:eastAsia="仿宋_GB2312" w:cs="仿宋_GB2312"/>
          <w:b/>
          <w:bCs/>
          <w:sz w:val="32"/>
          <w:szCs w:val="32"/>
          <w:lang w:eastAsia="zh-CN"/>
        </w:rPr>
        <w:t>全</w:t>
      </w: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产业</w:t>
      </w:r>
      <w:r>
        <w:rPr>
          <w:rFonts w:hint="eastAsia" w:ascii="仿宋_GB2312" w:eastAsia="仿宋_GB2312" w:cs="仿宋_GB2312"/>
          <w:b/>
          <w:bCs/>
          <w:sz w:val="32"/>
          <w:szCs w:val="32"/>
        </w:rPr>
        <w:t>链转型。</w:t>
      </w:r>
      <w:r>
        <w:rPr>
          <w:rFonts w:hint="eastAsia" w:ascii="仿宋_GB2312" w:eastAsia="仿宋_GB2312" w:cs="仿宋_GB2312"/>
          <w:sz w:val="32"/>
          <w:szCs w:val="32"/>
          <w:u w:val="none"/>
          <w:lang w:val="en-US" w:eastAsia="zh-CN"/>
        </w:rPr>
        <w:t>加快工业互联网规模化应用，</w:t>
      </w:r>
      <w:r>
        <w:rPr>
          <w:rFonts w:hint="eastAsia" w:ascii="仿宋_GB2312" w:eastAsia="仿宋_GB2312" w:cs="仿宋_GB2312"/>
          <w:sz w:val="32"/>
          <w:szCs w:val="32"/>
          <w:u w:val="none"/>
          <w:lang w:eastAsia="zh-CN"/>
        </w:rPr>
        <w:t>引导</w:t>
      </w:r>
      <w:r>
        <w:rPr>
          <w:rFonts w:hint="eastAsia" w:ascii="仿宋_GB2312" w:eastAsia="仿宋_GB2312" w:cs="仿宋_GB2312"/>
          <w:color w:val="000000"/>
          <w:sz w:val="32"/>
          <w:szCs w:val="32"/>
          <w:u w:val="none"/>
          <w:shd w:val="clear" w:fill="auto"/>
        </w:rPr>
        <w:t>“链主”</w:t>
      </w:r>
      <w:r>
        <w:rPr>
          <w:rFonts w:hint="eastAsia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auto"/>
          <w:lang w:val="en-US" w:eastAsia="zh-CN" w:bidi="ar"/>
        </w:rPr>
        <w:t>企业与互联网企业共</w:t>
      </w:r>
      <w:r>
        <w:rPr>
          <w:rFonts w:hint="eastAsia" w:asci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auto"/>
          <w:lang w:val="en-US" w:eastAsia="zh-CN" w:bidi="ar"/>
        </w:rPr>
        <w:t>同</w:t>
      </w:r>
      <w:r>
        <w:rPr>
          <w:rFonts w:hint="eastAsia" w:ascii="仿宋_GB2312" w:eastAsia="仿宋_GB2312" w:cs="仿宋_GB2312"/>
          <w:color w:val="333333"/>
          <w:sz w:val="32"/>
          <w:szCs w:val="32"/>
          <w:u w:val="none"/>
          <w:shd w:val="clear" w:fill="auto"/>
        </w:rPr>
        <w:t>构建高效协同、安全稳定、自主可控的工业互联网平台生态</w:t>
      </w:r>
      <w:r>
        <w:rPr>
          <w:rFonts w:hint="eastAsia" w:ascii="仿宋_GB2312" w:eastAsia="仿宋_GB2312" w:cs="仿宋_GB2312"/>
          <w:color w:val="333333"/>
          <w:sz w:val="32"/>
          <w:szCs w:val="32"/>
          <w:u w:val="none"/>
          <w:shd w:val="clear" w:fill="auto"/>
          <w:lang w:eastAsia="zh-CN"/>
        </w:rPr>
        <w:t>。</w:t>
      </w:r>
      <w:r>
        <w:rPr>
          <w:rFonts w:hint="eastAsia" w:asci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auto"/>
          <w:lang w:val="en-US" w:eastAsia="zh-CN" w:bidi="ar"/>
        </w:rPr>
        <w:t>鼓励“橡链云”、“胎联网”、“智慧营销”等平台</w:t>
      </w:r>
      <w:r>
        <w:rPr>
          <w:rFonts w:hint="eastAsia" w:ascii="仿宋_GB2312" w:eastAsia="仿宋_GB2312" w:cs="仿宋_GB2312"/>
          <w:color w:val="333333"/>
          <w:sz w:val="32"/>
          <w:szCs w:val="32"/>
          <w:u w:val="none"/>
          <w:shd w:val="clear" w:fill="auto"/>
        </w:rPr>
        <w:t>将业务流程与</w:t>
      </w:r>
      <w:r>
        <w:rPr>
          <w:rFonts w:hint="eastAsia" w:ascii="仿宋_GB2312" w:eastAsia="仿宋_GB2312" w:cs="仿宋_GB2312"/>
          <w:color w:val="000000"/>
          <w:sz w:val="32"/>
          <w:szCs w:val="32"/>
          <w:u w:val="none"/>
          <w:shd w:val="clear" w:fill="auto"/>
        </w:rPr>
        <w:t>管理体系向上下游延伸，</w:t>
      </w:r>
      <w:r>
        <w:rPr>
          <w:rFonts w:hint="eastAsia" w:ascii="仿宋_GB2312" w:eastAsia="仿宋_GB2312" w:cs="仿宋_GB2312"/>
          <w:color w:val="333333"/>
          <w:sz w:val="32"/>
          <w:szCs w:val="32"/>
          <w:u w:val="none"/>
          <w:shd w:val="clear" w:fill="auto"/>
        </w:rPr>
        <w:t>构建设备互联、数据驱动、软件定义、平台支撑的技术底座，</w:t>
      </w:r>
      <w:r>
        <w:rPr>
          <w:rFonts w:hint="eastAsia" w:ascii="仿宋_GB2312" w:eastAsia="仿宋_GB2312" w:cs="仿宋_GB2312"/>
          <w:color w:val="000000"/>
          <w:sz w:val="32"/>
          <w:szCs w:val="32"/>
          <w:u w:val="none"/>
          <w:shd w:val="clear" w:fill="auto"/>
        </w:rPr>
        <w:t>沿链带动中小企业开展网络化改造和数字化应用。</w:t>
      </w:r>
      <w:r>
        <w:rPr>
          <w:rFonts w:hint="eastAsia" w:ascii="仿宋_GB2312" w:eastAsia="仿宋_GB2312" w:cs="仿宋_GB2312"/>
          <w:b w:val="0"/>
          <w:bCs w:val="0"/>
          <w:color w:val="333333"/>
          <w:sz w:val="32"/>
          <w:szCs w:val="32"/>
          <w:u w:val="none"/>
          <w:shd w:val="clear" w:fill="auto"/>
          <w:lang w:val="en-US" w:eastAsia="zh-CN"/>
        </w:rPr>
        <w:t>支持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auto"/>
        </w:rPr>
        <w:t>国有平台公司、产业集群头部企业</w:t>
      </w:r>
      <w:r>
        <w:rPr>
          <w:rFonts w:hint="eastAsia" w:asci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auto"/>
          <w:lang w:val="en-US" w:eastAsia="zh-CN"/>
        </w:rPr>
        <w:t>等单位，</w:t>
      </w:r>
      <w:r>
        <w:rPr>
          <w:rFonts w:hint="eastAsia" w:ascii="仿宋_GB2312" w:eastAsia="仿宋_GB2312" w:cs="仿宋_GB2312"/>
          <w:color w:val="333333"/>
          <w:sz w:val="32"/>
          <w:szCs w:val="32"/>
          <w:u w:val="none"/>
          <w:shd w:val="clear" w:fill="auto"/>
        </w:rPr>
        <w:t>以国家</w:t>
      </w:r>
      <w:r>
        <w:rPr>
          <w:rFonts w:hint="eastAsia" w:ascii="仿宋_GB2312" w:eastAsia="仿宋_GB2312" w:cs="仿宋_GB2312"/>
          <w:color w:val="333333"/>
          <w:sz w:val="32"/>
          <w:szCs w:val="32"/>
          <w:u w:val="none"/>
          <w:shd w:val="clear" w:fill="auto"/>
          <w:lang w:val="en-US" w:eastAsia="zh-CN"/>
        </w:rPr>
        <w:t>工业互联网</w:t>
      </w:r>
      <w:r>
        <w:rPr>
          <w:rFonts w:hint="eastAsia" w:ascii="仿宋_GB2312" w:eastAsia="仿宋_GB2312" w:cs="仿宋_GB2312"/>
          <w:color w:val="333333"/>
          <w:sz w:val="32"/>
          <w:szCs w:val="32"/>
          <w:u w:val="none"/>
          <w:shd w:val="clear" w:fill="auto"/>
        </w:rPr>
        <w:t>大数据中心</w:t>
      </w:r>
      <w:r>
        <w:rPr>
          <w:rFonts w:hint="eastAsia" w:ascii="仿宋_GB2312" w:eastAsia="仿宋_GB2312" w:cs="仿宋_GB2312"/>
          <w:color w:val="333333"/>
          <w:sz w:val="32"/>
          <w:szCs w:val="32"/>
          <w:u w:val="none"/>
          <w:shd w:val="clear" w:fill="auto"/>
          <w:lang w:val="en-US" w:eastAsia="zh-CN"/>
        </w:rPr>
        <w:t>体系</w:t>
      </w:r>
      <w:r>
        <w:rPr>
          <w:rFonts w:hint="eastAsia" w:ascii="仿宋_GB2312" w:eastAsia="仿宋_GB2312" w:cs="仿宋_GB2312"/>
          <w:color w:val="333333"/>
          <w:sz w:val="32"/>
          <w:szCs w:val="32"/>
          <w:u w:val="none"/>
          <w:shd w:val="clear" w:fill="auto"/>
        </w:rPr>
        <w:t>“山东工业云”为基础，</w:t>
      </w:r>
      <w:r>
        <w:rPr>
          <w:rFonts w:hint="eastAsia" w:ascii="仿宋_GB2312" w:eastAsia="仿宋_GB2312" w:cs="仿宋_GB2312"/>
          <w:color w:val="000000"/>
          <w:sz w:val="32"/>
          <w:szCs w:val="32"/>
          <w:shd w:val="clear" w:fill="auto"/>
          <w:lang w:val="en-US" w:eastAsia="zh-CN"/>
        </w:rPr>
        <w:t>建设轮胎行业</w:t>
      </w:r>
      <w:r>
        <w:rPr>
          <w:rFonts w:hint="eastAsia" w:ascii="仿宋_GB2312" w:eastAsia="仿宋_GB2312" w:cs="仿宋_GB2312"/>
          <w:color w:val="000000"/>
          <w:sz w:val="32"/>
          <w:szCs w:val="32"/>
          <w:shd w:val="clear" w:fill="auto"/>
        </w:rPr>
        <w:t>“产业大脑”。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省工业和信息化厅牵头，省发展改革委、省科技厅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spacing w:val="0"/>
          <w:sz w:val="32"/>
          <w:szCs w:val="32"/>
          <w:shd w:val="clear"/>
        </w:rPr>
        <w:t>按职责分工负责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</w:p>
    <w:p>
      <w:pPr>
        <w:snapToGrid/>
        <w:spacing w:afterLines="0" w:line="56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（四）实施绿色低碳循环发展行动</w:t>
      </w:r>
    </w:p>
    <w:p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643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加快能效水平提升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适时调整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行业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高端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发展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指导目录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引导各地持续优化产能结构，合理控制产能规模，依法依规建设高端项目，加大落后产能淘汰力度，稳步提高绿色产能比例。落实工业领域碳达峰工作方案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实施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绿色低碳科技创新工程</w:t>
      </w:r>
      <w:r>
        <w:rPr>
          <w:rFonts w:hint="eastAsia" w:ascii="仿宋_GB2312" w:eastAsia="仿宋_GB2312" w:cs="仿宋_GB2312"/>
          <w:i w:val="0"/>
          <w:iCs w:val="0"/>
          <w:caps w:val="0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加快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行业全流程清洁化、循环化、低碳化改造，大力开发、推广节能高效技术和产品，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强化企业节能管理能力，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推进重点用能设备节能增效</w:t>
      </w:r>
      <w:r>
        <w:rPr>
          <w:rFonts w:hint="eastAsia" w:ascii="仿宋_GB2312" w:eastAsia="仿宋_GB2312" w:cs="仿宋_GB2312"/>
          <w:i w:val="0"/>
          <w:iCs w:val="0"/>
          <w:caps w:val="0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eastAsia="仿宋_GB2312" w:cs="仿宋_GB2312"/>
          <w:i w:val="0"/>
          <w:iCs w:val="0"/>
          <w:caps w:val="0"/>
          <w:spacing w:val="0"/>
          <w:sz w:val="32"/>
          <w:szCs w:val="32"/>
          <w:lang w:val="en-US" w:eastAsia="zh-CN"/>
        </w:rPr>
        <w:t>不断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提升综合能效水平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省发展改革委、省工业和信息化厅、省生态环境厅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spacing w:val="0"/>
          <w:sz w:val="32"/>
          <w:szCs w:val="32"/>
          <w:shd w:val="clear"/>
        </w:rPr>
        <w:t>按职责分工负责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643" w:firstLineChars="200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.</w:t>
      </w:r>
      <w:r>
        <w:rPr>
          <w:rFonts w:hint="eastAsia" w:ascii="仿宋_GB2312" w:eastAsia="仿宋_GB2312" w:cs="仿宋_GB2312"/>
          <w:b/>
          <w:bCs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深入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推进节能减排。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编制</w:t>
      </w:r>
      <w:r>
        <w:rPr>
          <w:rFonts w:hint="eastAsia" w:ascii="仿宋_GB2312" w:hAnsi="仿宋_GB2312" w:eastAsia="仿宋_GB2312" w:cs="仿宋_GB2312"/>
          <w:sz w:val="32"/>
          <w:szCs w:val="32"/>
        </w:rPr>
        <w:t>《山东省轮胎行业节能技术推广方案》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  <w:t>鼓励企业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bidi="ar-SA"/>
        </w:rPr>
        <w:t>运用先进节能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eastAsia="zh-CN" w:bidi="ar-SA"/>
        </w:rPr>
        <w:t>降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bidi="ar-SA"/>
        </w:rPr>
        <w:t>碳技术，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使用新型隔热板和模套保温节能材料，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eastAsia="zh-CN"/>
        </w:rPr>
        <w:t>应用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液相混炼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EPS(高能电子束辐照）、氮气硫化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半部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auto"/>
        </w:rPr>
        <w:t>辐射预硫化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、新型电磁加热硫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化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shd w:val="clear" w:color="auto" w:fill="auto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auto"/>
        </w:rPr>
        <w:t>串联式密炼机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shd w:val="clear" w:color="auto" w:fill="auto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auto"/>
        </w:rPr>
        <w:t>连续混炼机、短纤维定向取向成型装备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shd w:val="clear" w:color="auto" w:fill="auto"/>
          <w:lang w:eastAsia="zh-CN"/>
        </w:rPr>
        <w:t>、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高压永磁同步电机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auto"/>
        </w:rPr>
        <w:t>等工艺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及设备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auto"/>
          <w:lang w:eastAsia="zh-CN"/>
        </w:rPr>
        <w:t>，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采取清洁运输方式，积极争创环保绩效A级，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auto"/>
        </w:rPr>
        <w:t>促进行业绿色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低碳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auto"/>
        </w:rPr>
        <w:t>发展。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推广共享密炼中心模式，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鼓励在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广饶、西海岸新区等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中小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胎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企业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集聚区建设密炼中心，降低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区域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能耗和排放。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（省工业和信息化厅、省生态环境厅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spacing w:val="0"/>
          <w:sz w:val="32"/>
          <w:szCs w:val="32"/>
          <w:shd w:val="clear"/>
        </w:rPr>
        <w:t>按职责分工负责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643" w:firstLineChars="200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构建绿色</w:t>
      </w: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制造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体系。</w:t>
      </w:r>
      <w:r>
        <w:rPr>
          <w:rFonts w:hint="eastAsia" w:asci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强化产品全生命周期绿色管理，修订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  <w:t>《山东省绿色轮胎技术规范》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引导企业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开发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应用可持续材料及生物基材料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鼓励绿色电力交易，广泛应用绿色能源，生产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绿色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轮胎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产品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建设绿色工厂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推进资源综合利用，制定废旧轮胎回收利用地方标准，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鼓励零售网点推广实行轮胎以旧换新业务，支持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重点企业</w:t>
      </w:r>
      <w:r>
        <w:rPr>
          <w:rFonts w:hint="eastAsia" w:ascii="仿宋_GB2312" w:hAnsi="仿宋_GB2312" w:eastAsia="仿宋_GB2312" w:cs="仿宋_GB2312"/>
          <w:sz w:val="32"/>
          <w:szCs w:val="32"/>
        </w:rPr>
        <w:t>建立国内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废旧</w:t>
      </w:r>
      <w:r>
        <w:rPr>
          <w:rFonts w:hint="eastAsia" w:ascii="仿宋_GB2312" w:hAnsi="仿宋_GB2312" w:eastAsia="仿宋_GB2312" w:cs="仿宋_GB2312"/>
          <w:sz w:val="32"/>
          <w:szCs w:val="32"/>
        </w:rPr>
        <w:t>轮胎回收网络,推广废旧轮胎绿色裂解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和炭黑再生、静音棉再生、生物基材料提取与合成技术,加快形成规模化的旧轮胎翻新再制造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废轮胎生产再生橡胶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eastAsia="zh-CN"/>
        </w:rPr>
        <w:t>和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硫化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橡胶粉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废轮胎热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裂解</w:t>
      </w:r>
      <w:r>
        <w:rPr>
          <w:rFonts w:hint="eastAsia" w:ascii="仿宋_GB2312" w:hAnsi="仿宋_GB2312" w:eastAsia="仿宋_GB2312" w:cs="仿宋_GB2312"/>
          <w:sz w:val="32"/>
          <w:szCs w:val="32"/>
        </w:rPr>
        <w:t>循环利用产业链。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（省工业和信息化厅牵头，省发展改革委、省生态环境厅、省市场监管局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spacing w:val="0"/>
          <w:sz w:val="32"/>
          <w:szCs w:val="32"/>
          <w:shd w:val="clear"/>
        </w:rPr>
        <w:t>按职责分工负责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（五）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实施“山东轮胎”品牌力提升行动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643" w:firstLineChars="200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建立健全标准体系。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加强标准引领和质量支撑</w:t>
      </w:r>
      <w:r>
        <w:rPr>
          <w:rFonts w:hint="eastAsia" w:ascii="仿宋_GB2312" w:hAnsi="仿宋_GB2312" w:eastAsia="仿宋_GB2312" w:cs="仿宋_GB2312"/>
          <w:sz w:val="32"/>
          <w:szCs w:val="32"/>
        </w:rPr>
        <w:t>，完善企业技术改造标准，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落实标准能力提升奖励政策，健全</w:t>
      </w:r>
      <w:r>
        <w:rPr>
          <w:rFonts w:hint="eastAsia" w:ascii="仿宋_GB2312" w:hAnsi="仿宋_GB2312" w:eastAsia="仿宋_GB2312" w:cs="仿宋_GB2312"/>
          <w:sz w:val="32"/>
          <w:szCs w:val="32"/>
        </w:rPr>
        <w:t>高端、绿色轮胎系列标准体系。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发挥省级技术标准创新平台作用，对标国际标准，加快我省轮胎行业先进技术转化为标准规范。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支持省内头部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企业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主导或参与行业标准、地方标准、国家标准、国际标准制修订。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鼓励行业协会等社会团体，围绕</w:t>
      </w:r>
      <w:r>
        <w:rPr>
          <w:rFonts w:hint="eastAsia" w:ascii="仿宋_GB2312" w:eastAsia="仿宋_GB2312" w:cs="仿宋_GB2312"/>
          <w:b w:val="0"/>
          <w:bCs w:val="0"/>
          <w:sz w:val="32"/>
          <w:szCs w:val="32"/>
          <w:lang w:val="en-US" w:eastAsia="zh-CN"/>
        </w:rPr>
        <w:t>市场需求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研究制定先进团体标准</w:t>
      </w:r>
      <w:r>
        <w:rPr>
          <w:rFonts w:hint="eastAsia" w:ascii="仿宋_GB2312" w:eastAsia="仿宋_GB2312" w:cs="仿宋_GB2312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加快</w:t>
      </w:r>
      <w:r>
        <w:rPr>
          <w:rFonts w:hint="eastAsia" w:ascii="仿宋_GB2312" w:eastAsia="仿宋_GB2312" w:cs="仿宋_GB2312"/>
          <w:b w:val="0"/>
          <w:bCs w:val="0"/>
          <w:sz w:val="32"/>
          <w:szCs w:val="32"/>
          <w:lang w:val="en-US" w:eastAsia="zh-CN"/>
        </w:rPr>
        <w:t>智能轮胎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非充气轮胎等新产品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和自修复静音棉等先进技术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标准制订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加强宣传贯彻，开展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国际、国内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标准贯标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行动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（省工业和信息化厅、省市场监管局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spacing w:val="0"/>
          <w:sz w:val="32"/>
          <w:szCs w:val="32"/>
          <w:shd w:val="clear"/>
        </w:rPr>
        <w:t>按职责分工负责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643" w:firstLineChars="200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持续实施品牌战略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聚焦</w:t>
      </w:r>
      <w:r>
        <w:rPr>
          <w:rFonts w:hint="eastAsia" w:ascii="仿宋_GB2312" w:hAnsi="仿宋_GB2312" w:eastAsia="仿宋_GB2312" w:cs="仿宋_GB2312"/>
          <w:sz w:val="32"/>
          <w:szCs w:val="32"/>
        </w:rPr>
        <w:t>“三品”战略，大力实施品牌创新，借助新能源汽车“弯道超车”抢占配套市场，形成品牌突破</w:t>
      </w:r>
      <w:r>
        <w:rPr>
          <w:rFonts w:hint="eastAsia" w:asci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培育</w:t>
      </w:r>
      <w:r>
        <w:rPr>
          <w:rFonts w:hint="eastAsia" w:ascii="仿宋_GB2312" w:hAnsi="仿宋_GB2312" w:eastAsia="仿宋_GB2312" w:cs="仿宋_GB2312"/>
          <w:sz w:val="32"/>
          <w:szCs w:val="32"/>
        </w:rPr>
        <w:t>具有国际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竞争力</w:t>
      </w:r>
      <w:r>
        <w:rPr>
          <w:rFonts w:hint="eastAsia" w:ascii="仿宋_GB2312" w:hAnsi="仿宋_GB2312" w:eastAsia="仿宋_GB2312" w:cs="仿宋_GB2312"/>
          <w:sz w:val="32"/>
          <w:szCs w:val="32"/>
        </w:rPr>
        <w:t>的“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轮胎</w:t>
      </w:r>
      <w:r>
        <w:rPr>
          <w:rFonts w:hint="eastAsia" w:ascii="仿宋_GB2312" w:hAnsi="仿宋_GB2312" w:eastAsia="仿宋_GB2312" w:cs="仿宋_GB2312"/>
          <w:sz w:val="32"/>
          <w:szCs w:val="32"/>
        </w:rPr>
        <w:t>”品牌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鼓励省内有实力的优质企业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与跨国轮胎企业开展并购、合资合作</w:t>
      </w:r>
      <w:r>
        <w:rPr>
          <w:rFonts w:hint="eastAsia" w:ascii="仿宋_GB2312" w:hAnsi="仿宋_GB2312" w:eastAsia="仿宋_GB2312" w:cs="仿宋_GB2312"/>
          <w:sz w:val="32"/>
          <w:szCs w:val="32"/>
        </w:rPr>
        <w:t>，提升品牌国际市场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竞争</w:t>
      </w:r>
      <w:r>
        <w:rPr>
          <w:rFonts w:hint="eastAsia" w:ascii="仿宋_GB2312" w:hAnsi="仿宋_GB2312" w:eastAsia="仿宋_GB2312" w:cs="仿宋_GB2312"/>
          <w:sz w:val="32"/>
          <w:szCs w:val="32"/>
        </w:rPr>
        <w:t>力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持续</w:t>
      </w:r>
      <w:r>
        <w:rPr>
          <w:rFonts w:hint="eastAsia" w:ascii="仿宋_GB2312" w:eastAsia="仿宋_GB2312" w:cs="仿宋_GB2312"/>
          <w:sz w:val="32"/>
          <w:szCs w:val="32"/>
        </w:rPr>
        <w:t>开展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轮胎产品、技术</w:t>
      </w:r>
      <w:r>
        <w:rPr>
          <w:rFonts w:hint="eastAsia" w:ascii="仿宋_GB2312" w:eastAsia="仿宋_GB2312" w:cs="仿宋_GB2312"/>
          <w:sz w:val="32"/>
          <w:szCs w:val="32"/>
        </w:rPr>
        <w:t>供需对接、场景发布、宣贯推介、交流观摩等系列活动，高标准办好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青岛国际轮胎暨橡胶技术展览会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、中国（广饶）国际橡胶轮胎暨汽车配件展览会等高端展会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不断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扩大山东轮胎国际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影响力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（省工业和信息化厅牵头，省发展改革委、省商务厅、省市场监管局、省贸促会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spacing w:val="0"/>
          <w:sz w:val="32"/>
          <w:szCs w:val="32"/>
          <w:shd w:val="clear"/>
        </w:rPr>
        <w:t>按职责分工负责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）</w:t>
      </w:r>
    </w:p>
    <w:p>
      <w:pPr>
        <w:spacing w:afterLines="0" w:line="560" w:lineRule="exact"/>
        <w:ind w:firstLine="643" w:firstLineChars="200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大力开拓国际市场。</w:t>
      </w:r>
      <w:r>
        <w:rPr>
          <w:rFonts w:hint="eastAsia" w:ascii="仿宋_GB2312" w:eastAsia="仿宋_GB2312" w:cs="仿宋_GB2312"/>
          <w:b w:val="0"/>
          <w:bCs w:val="0"/>
          <w:sz w:val="32"/>
          <w:szCs w:val="32"/>
          <w:lang w:val="en-US" w:eastAsia="zh-CN"/>
        </w:rPr>
        <w:t>围绕做强总部经济，做大海外市场，支持优质</w:t>
      </w:r>
      <w:r>
        <w:rPr>
          <w:rFonts w:hint="eastAsia" w:ascii="仿宋_GB2312" w:eastAsia="仿宋_GB2312" w:cs="仿宋_GB2312"/>
          <w:b w:val="0"/>
          <w:bCs w:val="0"/>
          <w:color w:val="auto"/>
          <w:sz w:val="32"/>
          <w:szCs w:val="32"/>
          <w:shd w:val="clear" w:fill="auto"/>
          <w:lang w:val="en-US" w:eastAsia="zh-CN"/>
        </w:rPr>
        <w:t>企</w:t>
      </w:r>
      <w:r>
        <w:rPr>
          <w:rFonts w:hint="eastAsia" w:ascii="仿宋_GB2312" w:eastAsia="仿宋_GB2312" w:cs="仿宋_GB2312"/>
          <w:b w:val="0"/>
          <w:bCs w:val="0"/>
          <w:sz w:val="32"/>
          <w:szCs w:val="32"/>
          <w:lang w:val="en-US" w:eastAsia="zh-CN"/>
        </w:rPr>
        <w:t>业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积极向</w:t>
      </w:r>
      <w:r>
        <w:rPr>
          <w:rFonts w:hint="eastAsia" w:ascii="仿宋_GB2312" w:eastAsia="仿宋_GB2312" w:cs="仿宋_GB2312"/>
          <w:b w:val="0"/>
          <w:bCs w:val="0"/>
          <w:sz w:val="32"/>
          <w:szCs w:val="32"/>
          <w:lang w:val="en-US" w:eastAsia="zh-CN"/>
        </w:rPr>
        <w:t>海外拓展业务，</w:t>
      </w:r>
      <w:r>
        <w:rPr>
          <w:rFonts w:hint="eastAsia" w:ascii="仿宋_GB2312" w:hAnsi="仿宋_GB2312" w:eastAsia="仿宋_GB2312" w:cs="仿宋_GB2312"/>
          <w:sz w:val="32"/>
          <w:szCs w:val="32"/>
        </w:rPr>
        <w:t>就原料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就市场布局生产基地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 w:cs="仿宋_GB2312"/>
          <w:b w:val="0"/>
          <w:bCs w:val="0"/>
          <w:sz w:val="32"/>
          <w:szCs w:val="32"/>
          <w:lang w:val="en-US" w:eastAsia="zh-CN"/>
        </w:rPr>
        <w:t>加快轮胎行业国际化布局，实现资源优化配置和互利共赢。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加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国际市场需求及发展趋势研究，开发满足国际标准及市场需求新产品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eastAsia="仿宋_GB2312" w:cs="仿宋_GB2312"/>
          <w:b w:val="0"/>
          <w:bCs w:val="0"/>
          <w:sz w:val="32"/>
          <w:szCs w:val="32"/>
          <w:lang w:val="en-US" w:eastAsia="zh-CN"/>
        </w:rPr>
        <w:t>扩大出口规模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抓住启运港退税试点契机，充分发挥山东港口优势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出口信用保险作用，支持企业积极融入“一带一路”战略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 w:cs="仿宋_GB2312"/>
          <w:b w:val="0"/>
          <w:bCs w:val="0"/>
          <w:sz w:val="32"/>
          <w:szCs w:val="32"/>
          <w:lang w:val="en-US" w:eastAsia="zh-CN"/>
        </w:rPr>
        <w:t>健全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auto"/>
        </w:rPr>
        <w:t>国际贸易、投资、技术交流等机制，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鼓励企业</w:t>
      </w:r>
      <w:r>
        <w:rPr>
          <w:rFonts w:hint="eastAsia" w:ascii="仿宋_GB2312" w:hAnsi="仿宋_GB2312" w:eastAsia="仿宋_GB2312" w:cs="仿宋_GB2312"/>
          <w:sz w:val="32"/>
          <w:szCs w:val="32"/>
        </w:rPr>
        <w:t>依托海外仓、境外经贸合作区建立分支机构、零售网点，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大力</w:t>
      </w:r>
      <w:r>
        <w:rPr>
          <w:rFonts w:hint="eastAsia" w:ascii="仿宋_GB2312" w:hAnsi="仿宋_GB2312" w:eastAsia="仿宋_GB2312" w:cs="仿宋_GB2312"/>
          <w:sz w:val="32"/>
          <w:szCs w:val="32"/>
        </w:rPr>
        <w:t>开拓新兴市场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（省商务厅牵头，省发展改革委、省工业和信息化厅、青岛海关、济南海关、省贸促会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spacing w:val="0"/>
          <w:sz w:val="32"/>
          <w:szCs w:val="32"/>
          <w:shd w:val="clear"/>
        </w:rPr>
        <w:t>按职责分工负责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）</w:t>
      </w:r>
    </w:p>
    <w:p>
      <w:pPr>
        <w:spacing w:afterLines="0" w:line="560" w:lineRule="exact"/>
        <w:ind w:firstLine="643" w:firstLineChars="200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b/>
          <w:bCs/>
          <w:spacing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 w:cs="仿宋_GB2312"/>
          <w:b/>
          <w:bCs/>
          <w:spacing w:val="0"/>
          <w:sz w:val="32"/>
          <w:szCs w:val="32"/>
          <w:lang w:val="en-US" w:eastAsia="zh-CN"/>
        </w:rPr>
        <w:t>.积极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>应对贸易摩擦。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  <w:t>加快贸易摩擦应对机制建设，制定贸易调整援助办法，健全预警和法律服务体系，用</w:t>
      </w:r>
      <w:r>
        <w:rPr>
          <w:rFonts w:hint="eastAsia" w:asci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  <w:t>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省国际贸易摩擦法律服务团等“</w:t>
      </w:r>
      <w:r>
        <w:rPr>
          <w:rFonts w:hint="eastAsia" w:ascii="仿宋_GB2312" w:eastAsia="仿宋_GB2312" w:cs="仿宋_GB2312" w:hAnsiTheme="minorHAnsi"/>
          <w:sz w:val="32"/>
          <w:szCs w:val="32"/>
          <w:lang w:val="en-US" w:eastAsia="zh-CN"/>
        </w:rPr>
        <w:t>贸易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救济”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工具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  <w:t>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助力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企业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积极应对</w:t>
      </w:r>
      <w:r>
        <w:rPr>
          <w:rFonts w:hint="eastAsia" w:ascii="仿宋_GB2312" w:eastAsia="仿宋_GB2312" w:cs="仿宋_GB2312" w:hAnsiTheme="minorHAnsi"/>
          <w:sz w:val="32"/>
          <w:szCs w:val="32"/>
          <w:lang w:val="en-US" w:eastAsia="zh-CN"/>
        </w:rPr>
        <w:t>贸易摩擦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充分发挥省橡胶国际贸易摩擦工作站作用，健全重点企业联系清单，加强法律培训、业务咨询等工作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指导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做好贸易“双反”案件应诉</w:t>
      </w:r>
      <w:r>
        <w:rPr>
          <w:rFonts w:hint="eastAsia" w:asci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  <w:lang w:val="en-US" w:eastAsia="zh-CN"/>
        </w:rPr>
        <w:t>，</w:t>
      </w:r>
      <w:r>
        <w:rPr>
          <w:rFonts w:hint="eastAsia" w:ascii="仿宋_GB2312" w:eastAsia="仿宋_GB2312" w:cs="仿宋_GB2312"/>
          <w:kern w:val="2"/>
          <w:sz w:val="32"/>
          <w:szCs w:val="32"/>
          <w:lang w:val="en-US" w:eastAsia="zh-CN" w:bidi="ar-SA"/>
        </w:rPr>
        <w:t>降低</w:t>
      </w:r>
      <w:r>
        <w:rPr>
          <w:rFonts w:hint="eastAsia" w:ascii="仿宋_GB2312" w:eastAsia="仿宋_GB2312" w:cs="仿宋_GB2312" w:hAnsiTheme="minorHAnsi"/>
          <w:sz w:val="32"/>
          <w:szCs w:val="32"/>
        </w:rPr>
        <w:t>贸易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摩擦损失</w:t>
      </w:r>
      <w:r>
        <w:rPr>
          <w:rFonts w:hint="eastAsia" w:ascii="仿宋_GB2312" w:eastAsia="仿宋_GB2312" w:cs="仿宋_GB2312" w:hAnsiTheme="minorHAnsi"/>
          <w:sz w:val="32"/>
          <w:szCs w:val="32"/>
        </w:rPr>
        <w:t>。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省商务厅牵头，省工业和信息化厅、省贸促会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spacing w:val="0"/>
          <w:sz w:val="32"/>
          <w:szCs w:val="32"/>
          <w:shd w:val="clear"/>
        </w:rPr>
        <w:t>按职责分工负责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三、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保障措施</w:t>
      </w:r>
    </w:p>
    <w:p>
      <w:pPr>
        <w:snapToGrid w:val="0"/>
        <w:spacing w:afterLines="0"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（一）加强组织领导。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省有关部门要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建立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健全横向协同、上下联动工作机制，</w:t>
      </w:r>
      <w:r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</w:rPr>
        <w:t>形成</w:t>
      </w:r>
      <w:r>
        <w:rPr>
          <w:rFonts w:hint="eastAsia" w:ascii="仿宋_GB2312" w:eastAsia="仿宋_GB2312" w:cs="仿宋_GB2312"/>
          <w:snapToGrid/>
          <w:kern w:val="0"/>
          <w:sz w:val="32"/>
          <w:szCs w:val="32"/>
          <w:lang w:val="en-US" w:eastAsia="zh-CN"/>
        </w:rPr>
        <w:t>重大事项集中</w:t>
      </w:r>
      <w:r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</w:rPr>
        <w:t>会商、</w:t>
      </w:r>
      <w:r>
        <w:rPr>
          <w:rFonts w:hint="eastAsia" w:ascii="仿宋_GB2312" w:eastAsia="仿宋_GB2312" w:cs="仿宋_GB2312"/>
          <w:snapToGrid/>
          <w:kern w:val="0"/>
          <w:sz w:val="32"/>
          <w:szCs w:val="32"/>
          <w:lang w:val="en-US" w:eastAsia="zh-CN"/>
        </w:rPr>
        <w:t>行业运行实时</w:t>
      </w:r>
      <w:r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</w:rPr>
        <w:t>监测、</w:t>
      </w:r>
      <w:r>
        <w:rPr>
          <w:rFonts w:hint="eastAsia" w:ascii="仿宋_GB2312" w:eastAsia="仿宋_GB2312" w:cs="仿宋_GB2312"/>
          <w:snapToGrid/>
          <w:kern w:val="0"/>
          <w:sz w:val="32"/>
          <w:szCs w:val="32"/>
          <w:lang w:val="en-US" w:eastAsia="zh-CN"/>
        </w:rPr>
        <w:t>重点工作定期调度制度</w:t>
      </w:r>
      <w:r>
        <w:rPr>
          <w:rFonts w:hint="eastAsia" w:ascii="仿宋_GB2312" w:eastAsia="仿宋_GB2312" w:cs="仿宋_GB2312"/>
          <w:snapToGrid/>
          <w:color w:val="auto"/>
          <w:kern w:val="0"/>
          <w:sz w:val="32"/>
          <w:szCs w:val="32"/>
          <w:lang w:eastAsia="zh-CN"/>
        </w:rPr>
        <w:t>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加快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构建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分工负责、齐抓共管、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协同推进的工作格局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。各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-SA"/>
        </w:rPr>
        <w:t>地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要根据资源禀赋和产业基础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-SA"/>
        </w:rPr>
        <w:t>，研究制定具体推进措施，认真谋划、加力推进，确保各项工作落地见效。</w:t>
      </w:r>
      <w:r>
        <w:rPr>
          <w:rFonts w:hint="eastAsia" w:ascii="仿宋_GB2312" w:eastAsia="仿宋_GB2312" w:cs="仿宋_GB2312"/>
          <w:snapToGrid/>
          <w:kern w:val="0"/>
          <w:sz w:val="32"/>
          <w:szCs w:val="32"/>
          <w:lang w:val="en-US" w:eastAsia="zh-CN"/>
        </w:rPr>
        <w:t>行业协会要充分发挥桥梁纽带作用</w:t>
      </w:r>
      <w:r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</w:rPr>
        <w:t>，</w:t>
      </w:r>
      <w:r>
        <w:rPr>
          <w:rFonts w:hint="eastAsia" w:ascii="仿宋_GB2312" w:eastAsia="仿宋_GB2312" w:cs="仿宋_GB2312"/>
          <w:snapToGrid/>
          <w:kern w:val="0"/>
          <w:sz w:val="32"/>
          <w:szCs w:val="32"/>
          <w:lang w:val="en-US" w:eastAsia="zh-CN"/>
        </w:rPr>
        <w:t>积极参与行业发展规划、政策、标准制定等工作，</w:t>
      </w:r>
      <w:r>
        <w:rPr>
          <w:rFonts w:hint="eastAsia" w:ascii="仿宋_GB2312" w:eastAsia="仿宋_GB2312" w:cs="仿宋_GB2312"/>
          <w:snapToGrid/>
          <w:color w:val="auto"/>
          <w:kern w:val="0"/>
          <w:sz w:val="32"/>
          <w:szCs w:val="32"/>
          <w:lang w:val="en-US" w:eastAsia="zh-CN"/>
        </w:rPr>
        <w:t>为行业新质生产力培育和发展</w:t>
      </w:r>
      <w:bookmarkStart w:id="0" w:name="_GoBack"/>
      <w:bookmarkEnd w:id="0"/>
      <w:r>
        <w:rPr>
          <w:rFonts w:hint="eastAsia" w:ascii="仿宋_GB2312" w:eastAsia="仿宋_GB2312" w:cs="仿宋_GB2312"/>
          <w:snapToGrid/>
          <w:color w:val="auto"/>
          <w:kern w:val="0"/>
          <w:sz w:val="32"/>
          <w:szCs w:val="32"/>
          <w:lang w:val="en-US" w:eastAsia="zh-CN"/>
        </w:rPr>
        <w:t>做好全方位服务</w:t>
      </w:r>
      <w:r>
        <w:rPr>
          <w:rFonts w:hint="eastAsia" w:ascii="仿宋_GB2312" w:eastAsia="仿宋_GB2312" w:cs="仿宋_GB2312"/>
          <w:snapToGrid/>
          <w:kern w:val="0"/>
          <w:sz w:val="32"/>
          <w:szCs w:val="32"/>
          <w:lang w:val="en-US" w:eastAsia="zh-CN"/>
        </w:rPr>
        <w:t>。</w:t>
      </w:r>
      <w:r>
        <w:rPr>
          <w:rFonts w:hint="eastAsia" w:ascii="楷体_GB2312" w:hAnsi="Times New Roman" w:eastAsia="楷体_GB2312" w:cs="Times New Roman"/>
          <w:sz w:val="32"/>
          <w:szCs w:val="32"/>
        </w:rPr>
        <w:t>（</w:t>
      </w:r>
      <w:r>
        <w:rPr>
          <w:rFonts w:hint="eastAsia" w:ascii="楷体_GB2312" w:hAnsi="Times New Roman" w:eastAsia="楷体_GB2312" w:cs="Times New Roman"/>
          <w:sz w:val="32"/>
          <w:szCs w:val="32"/>
          <w:lang w:val="en-US" w:eastAsia="zh-CN"/>
        </w:rPr>
        <w:t>省工业和信息化厅牵头，相关部门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spacing w:val="0"/>
          <w:sz w:val="32"/>
          <w:szCs w:val="32"/>
          <w:shd w:val="clear"/>
        </w:rPr>
        <w:t>按职责分工负责</w:t>
      </w:r>
      <w:r>
        <w:rPr>
          <w:rFonts w:hint="eastAsia" w:ascii="楷体_GB2312" w:hAnsi="Times New Roman" w:eastAsia="楷体_GB2312" w:cs="Times New Roman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（二）强化服务保障。</w:t>
      </w:r>
      <w:r>
        <w:rPr>
          <w:rFonts w:hint="eastAsia" w:ascii="仿宋_GB2312" w:eastAsia="仿宋_GB2312" w:cs="仿宋_GB2312"/>
          <w:color w:val="auto"/>
          <w:sz w:val="32"/>
          <w:szCs w:val="32"/>
          <w:shd w:val="clear" w:fill="auto"/>
          <w:lang w:val="en-US" w:eastAsia="zh-CN"/>
        </w:rPr>
        <w:t>加强财政金融联动促进科技成果转化，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auto"/>
        </w:rPr>
        <w:t>对技术攻关产出的重大成果，符合条件的认定为首台（套）装备、首批次</w:t>
      </w:r>
      <w:r>
        <w:rPr>
          <w:rFonts w:hint="eastAsia" w:asci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auto"/>
          <w:lang w:val="en-US" w:eastAsia="zh-CN"/>
        </w:rPr>
        <w:t>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auto"/>
        </w:rPr>
        <w:t>材料、首版次软件</w:t>
      </w:r>
      <w:r>
        <w:rPr>
          <w:rFonts w:hint="eastAsia" w:asci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auto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fill="auto"/>
          <w:lang w:val="en-US" w:eastAsia="zh-CN"/>
        </w:rPr>
        <w:t>按规定给予保费补贴支持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auto"/>
        </w:rPr>
        <w:t>。</w:t>
      </w:r>
      <w:r>
        <w:rPr>
          <w:rFonts w:hint="eastAsia" w:asci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auto"/>
          <w:lang w:val="en-US" w:eastAsia="zh-CN"/>
        </w:rPr>
        <w:t>积极开展企业</w:t>
      </w:r>
      <w:r>
        <w:rPr>
          <w:rFonts w:hint="eastAsia" w:ascii="仿宋_GB2312" w:eastAsia="仿宋_GB2312" w:cs="仿宋_GB2312"/>
          <w:color w:val="222222"/>
          <w:sz w:val="32"/>
          <w:szCs w:val="32"/>
          <w:shd w:val="clear" w:fill="auto"/>
          <w:lang w:val="en-US" w:eastAsia="zh-CN"/>
        </w:rPr>
        <w:t>融资促进行动，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fill="auto"/>
          <w:lang w:val="en-US" w:eastAsia="zh-CN"/>
        </w:rPr>
        <w:t>支持</w:t>
      </w:r>
      <w:r>
        <w:rPr>
          <w:rFonts w:hint="eastAsia" w:ascii="仿宋_GB2312" w:eastAsia="仿宋_GB2312" w:cs="仿宋_GB2312"/>
          <w:color w:val="auto"/>
          <w:sz w:val="32"/>
          <w:szCs w:val="32"/>
          <w:shd w:val="clear" w:fill="auto"/>
          <w:lang w:val="en-US" w:eastAsia="zh-CN"/>
        </w:rPr>
        <w:t>轮胎企业在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fill="auto"/>
          <w:lang w:val="en-US" w:eastAsia="zh-CN"/>
        </w:rPr>
        <w:t>技术创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新、绿色低碳、数字转型等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领域加大投资力度，实现突破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bidi="ar"/>
        </w:rPr>
        <w:t>统筹</w:t>
      </w:r>
      <w:r>
        <w:rPr>
          <w:rFonts w:hint="eastAsia" w:asci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val="en-US" w:eastAsia="zh-CN" w:bidi="ar"/>
        </w:rPr>
        <w:t>推进高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val="en-US" w:eastAsia="zh-CN" w:bidi="ar"/>
        </w:rPr>
        <w:t>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bidi="ar"/>
        </w:rPr>
        <w:t>项目</w:t>
      </w:r>
      <w:r>
        <w:rPr>
          <w:rFonts w:hint="eastAsia" w:asci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eastAsia="zh-CN" w:bidi="ar"/>
        </w:rPr>
        <w:t>建设，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bidi="ar"/>
        </w:rPr>
        <w:t>支持在</w:t>
      </w:r>
      <w:r>
        <w:rPr>
          <w:rFonts w:hint="eastAsia" w:asci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val="en-US" w:eastAsia="zh-CN" w:bidi="ar"/>
        </w:rPr>
        <w:t>半岛、鲁北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val="en-US" w:eastAsia="zh-CN" w:bidi="ar"/>
        </w:rPr>
        <w:t>两大产业集群</w:t>
      </w:r>
      <w:r>
        <w:rPr>
          <w:rFonts w:hint="eastAsia" w:asci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val="en-US" w:eastAsia="zh-CN" w:bidi="ar"/>
        </w:rPr>
        <w:t>集中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bidi="ar"/>
        </w:rPr>
        <w:t>布局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val="en-US" w:eastAsia="zh-CN" w:bidi="ar"/>
        </w:rPr>
        <w:t>高端轮胎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bidi="ar"/>
        </w:rPr>
        <w:t>项目，提高产业集聚发展水平</w:t>
      </w:r>
      <w:r>
        <w:rPr>
          <w:rFonts w:hint="eastAsia" w:asci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eastAsia="zh-CN" w:bidi="ar"/>
        </w:rPr>
        <w:t>。</w:t>
      </w:r>
      <w:r>
        <w:rPr>
          <w:rFonts w:hint="eastAsia" w:asci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val="en-US" w:eastAsia="zh-CN" w:bidi="ar"/>
        </w:rPr>
        <w:t>有关市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bidi="ar"/>
        </w:rPr>
        <w:t>政府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eastAsia="zh-CN" w:bidi="ar"/>
        </w:rPr>
        <w:t>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bidi="ar"/>
        </w:rPr>
        <w:t>做好资源要素保障和发展培育，指导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val="en-US" w:eastAsia="zh-CN" w:bidi="ar"/>
        </w:rPr>
        <w:t>企业协同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bidi="ar"/>
        </w:rPr>
        <w:t>开展合作交流、技术攻关、项目布局、人才引进等工作。</w:t>
      </w:r>
      <w:r>
        <w:rPr>
          <w:rFonts w:hint="eastAsia" w:ascii="楷体_GB2312" w:hAnsi="Times New Roman" w:eastAsia="楷体_GB2312" w:cs="Times New Roman"/>
          <w:sz w:val="32"/>
          <w:szCs w:val="32"/>
        </w:rPr>
        <w:t>（</w:t>
      </w:r>
      <w:r>
        <w:rPr>
          <w:rFonts w:hint="eastAsia" w:ascii="楷体_GB2312" w:hAnsi="Times New Roman" w:eastAsia="楷体_GB2312" w:cs="Times New Roman"/>
          <w:sz w:val="32"/>
          <w:szCs w:val="32"/>
          <w:lang w:val="en-US" w:eastAsia="zh-CN"/>
        </w:rPr>
        <w:t>省工业和信息化厅牵头，省财政厅、省发展改革委、中国人民银行山东省分行、山东金融监管局、青岛金融监管局</w:t>
      </w:r>
      <w:r>
        <w:rPr>
          <w:rFonts w:hint="eastAsia" w:ascii="楷体_GB2312" w:hAnsi="Times New Roman" w:eastAsia="楷体_GB2312" w:cs="Times New Roman"/>
          <w:i w:val="0"/>
          <w:iCs w:val="0"/>
          <w:caps w:val="0"/>
          <w:spacing w:val="0"/>
          <w:sz w:val="32"/>
          <w:szCs w:val="32"/>
          <w:shd w:val="clear"/>
        </w:rPr>
        <w:t>按职责分工负责</w:t>
      </w:r>
      <w:r>
        <w:rPr>
          <w:rFonts w:hint="eastAsia" w:ascii="楷体_GB2312" w:hAnsi="Times New Roman" w:eastAsia="楷体_GB2312" w:cs="Times New Roman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（三）营造良好氛围。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围绕技术创新、转型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升级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市场开拓、品牌建设、产业政策等，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做好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政策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解读和专题培训，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组织编写并适时发布轮胎行业新质生产力发展年度报告，精选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创新创业典型案例进行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宣介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推广，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营造良性竞争、协同共进良好氛围。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切实加强行业协会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等专业机构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建设，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发挥好轮胎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行业专家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智库作用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，弘扬企业家精神和工匠精神，为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培育和发展新质生产力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提供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智力支持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和强大动力。</w:t>
      </w:r>
      <w:r>
        <w:rPr>
          <w:rFonts w:hint="eastAsia" w:ascii="楷体_GB2312" w:hAnsi="Times New Roman" w:eastAsia="楷体_GB2312" w:cs="Times New Roman"/>
          <w:sz w:val="32"/>
          <w:szCs w:val="32"/>
        </w:rPr>
        <w:t>（</w:t>
      </w:r>
      <w:r>
        <w:rPr>
          <w:rFonts w:hint="eastAsia" w:ascii="楷体_GB2312" w:hAnsi="Times New Roman" w:eastAsia="楷体_GB2312" w:cs="Times New Roman"/>
          <w:sz w:val="32"/>
          <w:szCs w:val="32"/>
          <w:lang w:val="en-US" w:eastAsia="zh-CN"/>
        </w:rPr>
        <w:t>省工业和信息化厅</w:t>
      </w:r>
      <w:r>
        <w:rPr>
          <w:rFonts w:hint="eastAsia" w:ascii="楷体_GB2312" w:hAnsi="Times New Roman" w:eastAsia="楷体_GB2312" w:cs="Times New Roman"/>
          <w:sz w:val="32"/>
          <w:szCs w:val="32"/>
          <w:lang w:val="en-US" w:eastAsia="zh-CN"/>
        </w:rPr>
        <w:t>牵头，相关部门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spacing w:val="0"/>
          <w:sz w:val="32"/>
          <w:szCs w:val="32"/>
          <w:shd w:val="clear"/>
        </w:rPr>
        <w:t>按职责分工负责</w:t>
      </w:r>
      <w:r>
        <w:rPr>
          <w:rFonts w:hint="eastAsia" w:ascii="楷体_GB2312" w:hAnsi="Times New Roman" w:eastAsia="楷体_GB2312" w:cs="Times New Roman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20" w:h="16840"/>
      <w:pgMar w:top="1701" w:right="1587" w:bottom="1417" w:left="1587" w:header="0" w:footer="85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546AA21-7379-4081-A207-0B387197555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8D746B73-9CD4-4BE6-B60C-36E2AE495D1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F32F0B2D-0A50-43A8-BD97-C23EEC23F6FF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B6A4DF0F-95CC-4D90-B7C8-7F3C5264D990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18CD0EAF-A94A-4196-BDB8-22310F06E331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jc w:val="left"/>
      <w:rPr>
        <w:rFonts w:hAnsi="Calibri"/>
      </w:rPr>
    </w:pPr>
    <w:r>
      <w:rPr>
        <w:rFonts w:hAnsi="Calibri"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21335" cy="197485"/>
              <wp:effectExtent l="0" t="0" r="0" b="0"/>
              <wp:wrapNone/>
              <wp:docPr id="1" name="矩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1335" cy="197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hAnsi="Calibri"/>
                              <w:sz w:val="24"/>
                            </w:rPr>
                          </w:pPr>
                          <w:r>
                            <w:rPr>
                              <w:rFonts w:hAnsi="Calibri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hAnsi="Calibri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Ansi="Calibri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hAnsi="Calibri"/>
                              <w:sz w:val="24"/>
                            </w:rPr>
                            <w:t>1</w:t>
                          </w:r>
                          <w:r>
                            <w:rPr>
                              <w:rFonts w:hAnsi="Calibri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5.55pt;width:41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KsCrGbRAAAAAwEAAA8A&#10;AAAAAAAAAQAgAAAAIgAAAGRycy9kb3ducmV2LnhtbFBLAQIUABQAAAAIAIdO4kBOaN1D5QEAAKcD&#10;AAAOAAAAAAAAAAEAIAAAACABAABkcnMvZTJvRG9jLnhtbFBLBQYAAAAABgAGAFkBAAB3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hAnsi="Calibri"/>
                        <w:sz w:val="24"/>
                      </w:rPr>
                    </w:pPr>
                    <w:r>
                      <w:rPr>
                        <w:rFonts w:hAnsi="Calibri"/>
                        <w:sz w:val="24"/>
                      </w:rPr>
                      <w:fldChar w:fldCharType="begin"/>
                    </w:r>
                    <w:r>
                      <w:rPr>
                        <w:rFonts w:hAnsi="Calibri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hAnsi="Calibri"/>
                        <w:sz w:val="24"/>
                      </w:rPr>
                      <w:fldChar w:fldCharType="separate"/>
                    </w:r>
                    <w:r>
                      <w:rPr>
                        <w:rFonts w:hAnsi="Calibri"/>
                        <w:sz w:val="24"/>
                      </w:rPr>
                      <w:t>1</w:t>
                    </w:r>
                    <w:r>
                      <w:rPr>
                        <w:rFonts w:hAnsi="Calibri"/>
                        <w:sz w:val="24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rPr>
        <w:rFonts w:hint="eastAsia" w:hAnsi="Calibri"/>
      </w:rPr>
      <w:t xml:space="preserve">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B355DBD"/>
    <w:multiLevelType w:val="singleLevel"/>
    <w:tmpl w:val="CB355DBD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3ZjE3YTAxOTI1ODdlNzU2NTM1MDg0YzRiZTU1MWQifQ=="/>
  </w:docVars>
  <w:rsids>
    <w:rsidRoot w:val="00172A27"/>
    <w:rsid w:val="00337586"/>
    <w:rsid w:val="005D2854"/>
    <w:rsid w:val="00692FA7"/>
    <w:rsid w:val="00E84814"/>
    <w:rsid w:val="01160A46"/>
    <w:rsid w:val="01213882"/>
    <w:rsid w:val="0153214F"/>
    <w:rsid w:val="01AA7D1B"/>
    <w:rsid w:val="01D60B10"/>
    <w:rsid w:val="020F0FB0"/>
    <w:rsid w:val="026C4FD1"/>
    <w:rsid w:val="029B6ADA"/>
    <w:rsid w:val="02C646E1"/>
    <w:rsid w:val="02F456F2"/>
    <w:rsid w:val="02FA082F"/>
    <w:rsid w:val="03195159"/>
    <w:rsid w:val="031E08A6"/>
    <w:rsid w:val="032655F7"/>
    <w:rsid w:val="03B35CEE"/>
    <w:rsid w:val="03D13390"/>
    <w:rsid w:val="03E80687"/>
    <w:rsid w:val="03F92894"/>
    <w:rsid w:val="04BD38C2"/>
    <w:rsid w:val="04CC4C57"/>
    <w:rsid w:val="04E35A1E"/>
    <w:rsid w:val="05015B58"/>
    <w:rsid w:val="056703FD"/>
    <w:rsid w:val="05CB200E"/>
    <w:rsid w:val="065F7EAC"/>
    <w:rsid w:val="06A6308F"/>
    <w:rsid w:val="06B7199F"/>
    <w:rsid w:val="06C81E80"/>
    <w:rsid w:val="070103DE"/>
    <w:rsid w:val="07134890"/>
    <w:rsid w:val="07591FC8"/>
    <w:rsid w:val="076B1CFB"/>
    <w:rsid w:val="07ED584C"/>
    <w:rsid w:val="083E4DA1"/>
    <w:rsid w:val="084B7D7D"/>
    <w:rsid w:val="0869623A"/>
    <w:rsid w:val="08C416C3"/>
    <w:rsid w:val="08C6636C"/>
    <w:rsid w:val="09F00295"/>
    <w:rsid w:val="0A434869"/>
    <w:rsid w:val="0A4B1B08"/>
    <w:rsid w:val="0A8C4462"/>
    <w:rsid w:val="0ACE6829"/>
    <w:rsid w:val="0B096204"/>
    <w:rsid w:val="0B650F11"/>
    <w:rsid w:val="0B754EF6"/>
    <w:rsid w:val="0B7A075E"/>
    <w:rsid w:val="0BC85558"/>
    <w:rsid w:val="0BD86CD3"/>
    <w:rsid w:val="0C103C0D"/>
    <w:rsid w:val="0C10555B"/>
    <w:rsid w:val="0C1E558E"/>
    <w:rsid w:val="0C2801BA"/>
    <w:rsid w:val="0C57284E"/>
    <w:rsid w:val="0CCD3DF9"/>
    <w:rsid w:val="0D244E26"/>
    <w:rsid w:val="0D5A0848"/>
    <w:rsid w:val="0D7A2C98"/>
    <w:rsid w:val="0D865199"/>
    <w:rsid w:val="0DC42165"/>
    <w:rsid w:val="0E0B38F0"/>
    <w:rsid w:val="0E36460D"/>
    <w:rsid w:val="0E664FCA"/>
    <w:rsid w:val="0E7616B1"/>
    <w:rsid w:val="0E8A640C"/>
    <w:rsid w:val="0EB043F3"/>
    <w:rsid w:val="0F1D38DB"/>
    <w:rsid w:val="0F3B0205"/>
    <w:rsid w:val="0F59068B"/>
    <w:rsid w:val="0F8B2F3A"/>
    <w:rsid w:val="0F96368D"/>
    <w:rsid w:val="0FB91578"/>
    <w:rsid w:val="0FD14818"/>
    <w:rsid w:val="0FE8038D"/>
    <w:rsid w:val="10120F66"/>
    <w:rsid w:val="103A3C15"/>
    <w:rsid w:val="10E30B54"/>
    <w:rsid w:val="10F20D97"/>
    <w:rsid w:val="11082369"/>
    <w:rsid w:val="1125116C"/>
    <w:rsid w:val="113413B0"/>
    <w:rsid w:val="114A0BD3"/>
    <w:rsid w:val="117508A3"/>
    <w:rsid w:val="118E6D12"/>
    <w:rsid w:val="11F748B7"/>
    <w:rsid w:val="120B3EBE"/>
    <w:rsid w:val="12AA7B7B"/>
    <w:rsid w:val="12B74046"/>
    <w:rsid w:val="12BC165D"/>
    <w:rsid w:val="12C235D4"/>
    <w:rsid w:val="13182D37"/>
    <w:rsid w:val="1333549D"/>
    <w:rsid w:val="13525B1D"/>
    <w:rsid w:val="13912AE9"/>
    <w:rsid w:val="13A24CF6"/>
    <w:rsid w:val="13BD568C"/>
    <w:rsid w:val="13BF7656"/>
    <w:rsid w:val="13C40F69"/>
    <w:rsid w:val="14495172"/>
    <w:rsid w:val="144C28D0"/>
    <w:rsid w:val="144D2D5B"/>
    <w:rsid w:val="14B46A8F"/>
    <w:rsid w:val="14DD44AF"/>
    <w:rsid w:val="14E36B24"/>
    <w:rsid w:val="14EF3F6B"/>
    <w:rsid w:val="15086DDB"/>
    <w:rsid w:val="15213E43"/>
    <w:rsid w:val="155E6416"/>
    <w:rsid w:val="157224A6"/>
    <w:rsid w:val="158E5532"/>
    <w:rsid w:val="159863B1"/>
    <w:rsid w:val="15A80BED"/>
    <w:rsid w:val="15EC4007"/>
    <w:rsid w:val="16892A20"/>
    <w:rsid w:val="169052DA"/>
    <w:rsid w:val="16B234A2"/>
    <w:rsid w:val="16D200D1"/>
    <w:rsid w:val="16ED44DA"/>
    <w:rsid w:val="178169D1"/>
    <w:rsid w:val="17BB1EE3"/>
    <w:rsid w:val="17DF3ABC"/>
    <w:rsid w:val="182146E0"/>
    <w:rsid w:val="183150FC"/>
    <w:rsid w:val="1844637C"/>
    <w:rsid w:val="18736FD2"/>
    <w:rsid w:val="18A62B93"/>
    <w:rsid w:val="18AE7C99"/>
    <w:rsid w:val="18C474BD"/>
    <w:rsid w:val="18C64FE3"/>
    <w:rsid w:val="18F94A09"/>
    <w:rsid w:val="19D13C3F"/>
    <w:rsid w:val="1A0A0EFF"/>
    <w:rsid w:val="1A24757B"/>
    <w:rsid w:val="1A7B1DFD"/>
    <w:rsid w:val="1A8B7DB2"/>
    <w:rsid w:val="1A930EF5"/>
    <w:rsid w:val="1AD80FFE"/>
    <w:rsid w:val="1AD96D25"/>
    <w:rsid w:val="1B1C713C"/>
    <w:rsid w:val="1B302BE8"/>
    <w:rsid w:val="1B744165"/>
    <w:rsid w:val="1B860A5A"/>
    <w:rsid w:val="1BD25864"/>
    <w:rsid w:val="1C200AF6"/>
    <w:rsid w:val="1C2F2E9F"/>
    <w:rsid w:val="1C4F52EF"/>
    <w:rsid w:val="1C694603"/>
    <w:rsid w:val="1C8E7BC6"/>
    <w:rsid w:val="1C9176B6"/>
    <w:rsid w:val="1CBF06C7"/>
    <w:rsid w:val="1CD70F8F"/>
    <w:rsid w:val="1CE609CE"/>
    <w:rsid w:val="1D4462E0"/>
    <w:rsid w:val="1D862F93"/>
    <w:rsid w:val="1D8D2573"/>
    <w:rsid w:val="1DAC0C4B"/>
    <w:rsid w:val="1DCB2EC8"/>
    <w:rsid w:val="1DE1641B"/>
    <w:rsid w:val="1E177E6B"/>
    <w:rsid w:val="1E1863D0"/>
    <w:rsid w:val="1E4A027F"/>
    <w:rsid w:val="1E7A2AF8"/>
    <w:rsid w:val="1E7B6870"/>
    <w:rsid w:val="1ECE2E43"/>
    <w:rsid w:val="1F282554"/>
    <w:rsid w:val="1F996FAD"/>
    <w:rsid w:val="1FAD0CAB"/>
    <w:rsid w:val="1FB47221"/>
    <w:rsid w:val="1FE67D19"/>
    <w:rsid w:val="20457135"/>
    <w:rsid w:val="20474300"/>
    <w:rsid w:val="208662B8"/>
    <w:rsid w:val="20BE24EF"/>
    <w:rsid w:val="210A7A37"/>
    <w:rsid w:val="21994F3B"/>
    <w:rsid w:val="21B84BEB"/>
    <w:rsid w:val="21EB0CED"/>
    <w:rsid w:val="221E19EC"/>
    <w:rsid w:val="22E449E3"/>
    <w:rsid w:val="22EF3388"/>
    <w:rsid w:val="237F295E"/>
    <w:rsid w:val="24003A9F"/>
    <w:rsid w:val="24374FE7"/>
    <w:rsid w:val="244A4D1A"/>
    <w:rsid w:val="24612064"/>
    <w:rsid w:val="24A02B8C"/>
    <w:rsid w:val="24B93C4E"/>
    <w:rsid w:val="24C13DAE"/>
    <w:rsid w:val="24CB40F2"/>
    <w:rsid w:val="24F42ED8"/>
    <w:rsid w:val="250E3F9A"/>
    <w:rsid w:val="25B77E0E"/>
    <w:rsid w:val="261C26E6"/>
    <w:rsid w:val="2629095F"/>
    <w:rsid w:val="264D28A0"/>
    <w:rsid w:val="26B92661"/>
    <w:rsid w:val="26D20FF7"/>
    <w:rsid w:val="26E33204"/>
    <w:rsid w:val="27940C01"/>
    <w:rsid w:val="27C46B92"/>
    <w:rsid w:val="27C6290A"/>
    <w:rsid w:val="27DC037F"/>
    <w:rsid w:val="27F31225"/>
    <w:rsid w:val="27F75BE7"/>
    <w:rsid w:val="28327F9F"/>
    <w:rsid w:val="28EF40E2"/>
    <w:rsid w:val="292673D8"/>
    <w:rsid w:val="29451F54"/>
    <w:rsid w:val="29475CCC"/>
    <w:rsid w:val="2976210D"/>
    <w:rsid w:val="29B816E7"/>
    <w:rsid w:val="29FD45DD"/>
    <w:rsid w:val="2A094D30"/>
    <w:rsid w:val="2A1F251D"/>
    <w:rsid w:val="2A2A1BE7"/>
    <w:rsid w:val="2A7D0719"/>
    <w:rsid w:val="2ACF3ADF"/>
    <w:rsid w:val="2ADB2B70"/>
    <w:rsid w:val="2B3509F1"/>
    <w:rsid w:val="2B6761B2"/>
    <w:rsid w:val="2B8079EB"/>
    <w:rsid w:val="2BD55811"/>
    <w:rsid w:val="2C1B6F9C"/>
    <w:rsid w:val="2C1E78EF"/>
    <w:rsid w:val="2C236465"/>
    <w:rsid w:val="2C7C5C8D"/>
    <w:rsid w:val="2CB847EB"/>
    <w:rsid w:val="2D047A30"/>
    <w:rsid w:val="2D09074C"/>
    <w:rsid w:val="2D4931C5"/>
    <w:rsid w:val="2DED127C"/>
    <w:rsid w:val="2E474078"/>
    <w:rsid w:val="2EF04710"/>
    <w:rsid w:val="2F1C72B3"/>
    <w:rsid w:val="2F584545"/>
    <w:rsid w:val="2F9652B7"/>
    <w:rsid w:val="2FA63021"/>
    <w:rsid w:val="2FE22DF6"/>
    <w:rsid w:val="300B7369"/>
    <w:rsid w:val="302C5C1C"/>
    <w:rsid w:val="303167EA"/>
    <w:rsid w:val="307750E9"/>
    <w:rsid w:val="30C47C02"/>
    <w:rsid w:val="313703D4"/>
    <w:rsid w:val="315C403C"/>
    <w:rsid w:val="31927D00"/>
    <w:rsid w:val="31D65E3F"/>
    <w:rsid w:val="3203475A"/>
    <w:rsid w:val="321150C9"/>
    <w:rsid w:val="321D7CD9"/>
    <w:rsid w:val="32285F6F"/>
    <w:rsid w:val="322B1B1A"/>
    <w:rsid w:val="327175D7"/>
    <w:rsid w:val="32917FB8"/>
    <w:rsid w:val="32A221C5"/>
    <w:rsid w:val="32D00AE0"/>
    <w:rsid w:val="32D87995"/>
    <w:rsid w:val="33B41C95"/>
    <w:rsid w:val="33B73A4E"/>
    <w:rsid w:val="33DE547F"/>
    <w:rsid w:val="34045566"/>
    <w:rsid w:val="3460749A"/>
    <w:rsid w:val="346A286F"/>
    <w:rsid w:val="34732160"/>
    <w:rsid w:val="348D69A8"/>
    <w:rsid w:val="34967B08"/>
    <w:rsid w:val="34A915E9"/>
    <w:rsid w:val="34AE3172"/>
    <w:rsid w:val="34B74F94"/>
    <w:rsid w:val="350156E0"/>
    <w:rsid w:val="355A0B35"/>
    <w:rsid w:val="35C83415"/>
    <w:rsid w:val="35DD3FB6"/>
    <w:rsid w:val="35E13004"/>
    <w:rsid w:val="362D624A"/>
    <w:rsid w:val="364041CF"/>
    <w:rsid w:val="36C4095C"/>
    <w:rsid w:val="36F32FEF"/>
    <w:rsid w:val="36F8383E"/>
    <w:rsid w:val="36FA6D7C"/>
    <w:rsid w:val="371513EC"/>
    <w:rsid w:val="377D1581"/>
    <w:rsid w:val="37A4253C"/>
    <w:rsid w:val="37A83866"/>
    <w:rsid w:val="37C329C2"/>
    <w:rsid w:val="380A05F1"/>
    <w:rsid w:val="380D0894"/>
    <w:rsid w:val="3851621F"/>
    <w:rsid w:val="385B7C33"/>
    <w:rsid w:val="38910D12"/>
    <w:rsid w:val="38D330D8"/>
    <w:rsid w:val="396349BE"/>
    <w:rsid w:val="396A50BF"/>
    <w:rsid w:val="39E004CE"/>
    <w:rsid w:val="3A2D6818"/>
    <w:rsid w:val="3A6D30B9"/>
    <w:rsid w:val="3A815E0A"/>
    <w:rsid w:val="3AF1668A"/>
    <w:rsid w:val="3AF45588"/>
    <w:rsid w:val="3B091CD6"/>
    <w:rsid w:val="3B0C0B24"/>
    <w:rsid w:val="3B4A33FA"/>
    <w:rsid w:val="3B6E533A"/>
    <w:rsid w:val="3B8E778B"/>
    <w:rsid w:val="3BDF1D94"/>
    <w:rsid w:val="3BEC625F"/>
    <w:rsid w:val="3C1001A0"/>
    <w:rsid w:val="3C156788"/>
    <w:rsid w:val="3C410359"/>
    <w:rsid w:val="3C796A16"/>
    <w:rsid w:val="3CB13731"/>
    <w:rsid w:val="3CE86A81"/>
    <w:rsid w:val="3D687B67"/>
    <w:rsid w:val="3DC254CA"/>
    <w:rsid w:val="3DFE0BF8"/>
    <w:rsid w:val="3ED100BA"/>
    <w:rsid w:val="3F306570"/>
    <w:rsid w:val="3F6D3B11"/>
    <w:rsid w:val="3FA23805"/>
    <w:rsid w:val="3FE8319B"/>
    <w:rsid w:val="40387CC5"/>
    <w:rsid w:val="407F3B4D"/>
    <w:rsid w:val="40C71F4C"/>
    <w:rsid w:val="417D300E"/>
    <w:rsid w:val="41984EBF"/>
    <w:rsid w:val="42044303"/>
    <w:rsid w:val="42876CE2"/>
    <w:rsid w:val="438D657A"/>
    <w:rsid w:val="43AF4742"/>
    <w:rsid w:val="44E1092B"/>
    <w:rsid w:val="45806396"/>
    <w:rsid w:val="458C4D3B"/>
    <w:rsid w:val="45AA6F6F"/>
    <w:rsid w:val="460340A0"/>
    <w:rsid w:val="46B604A0"/>
    <w:rsid w:val="471E20BC"/>
    <w:rsid w:val="486F529A"/>
    <w:rsid w:val="48887741"/>
    <w:rsid w:val="48E629B4"/>
    <w:rsid w:val="4913307D"/>
    <w:rsid w:val="49396F88"/>
    <w:rsid w:val="494B1258"/>
    <w:rsid w:val="497917A4"/>
    <w:rsid w:val="497955D6"/>
    <w:rsid w:val="497C6E74"/>
    <w:rsid w:val="498F4DFA"/>
    <w:rsid w:val="49B54134"/>
    <w:rsid w:val="49CC7DFC"/>
    <w:rsid w:val="4A301A0D"/>
    <w:rsid w:val="4AF43E36"/>
    <w:rsid w:val="4B090BDC"/>
    <w:rsid w:val="4B2C6678"/>
    <w:rsid w:val="4B320132"/>
    <w:rsid w:val="4BE8776D"/>
    <w:rsid w:val="4BFF4102"/>
    <w:rsid w:val="4C4C5224"/>
    <w:rsid w:val="4D2E0486"/>
    <w:rsid w:val="4D341814"/>
    <w:rsid w:val="4D4203D5"/>
    <w:rsid w:val="4D5C3245"/>
    <w:rsid w:val="4EA759A5"/>
    <w:rsid w:val="4EAE124F"/>
    <w:rsid w:val="4ECC7F56"/>
    <w:rsid w:val="4F500D0E"/>
    <w:rsid w:val="4F6732B5"/>
    <w:rsid w:val="4F69539B"/>
    <w:rsid w:val="4F812B60"/>
    <w:rsid w:val="4F8B7E11"/>
    <w:rsid w:val="4F9D7B44"/>
    <w:rsid w:val="4FB662A1"/>
    <w:rsid w:val="4FC11A85"/>
    <w:rsid w:val="4FD305A3"/>
    <w:rsid w:val="4FD572DE"/>
    <w:rsid w:val="4FF43C08"/>
    <w:rsid w:val="501D717B"/>
    <w:rsid w:val="50CD4459"/>
    <w:rsid w:val="511300BE"/>
    <w:rsid w:val="511856D5"/>
    <w:rsid w:val="516B614C"/>
    <w:rsid w:val="51954F77"/>
    <w:rsid w:val="51FF0643"/>
    <w:rsid w:val="52412A09"/>
    <w:rsid w:val="52B7579B"/>
    <w:rsid w:val="52CB49C9"/>
    <w:rsid w:val="52FC2DD4"/>
    <w:rsid w:val="53497168"/>
    <w:rsid w:val="53855870"/>
    <w:rsid w:val="53B84F4D"/>
    <w:rsid w:val="53E2021C"/>
    <w:rsid w:val="545C7FCE"/>
    <w:rsid w:val="546B6463"/>
    <w:rsid w:val="54795E2B"/>
    <w:rsid w:val="54817A35"/>
    <w:rsid w:val="5486504B"/>
    <w:rsid w:val="548D462B"/>
    <w:rsid w:val="54F77CF7"/>
    <w:rsid w:val="55012924"/>
    <w:rsid w:val="554D5B69"/>
    <w:rsid w:val="55782BE6"/>
    <w:rsid w:val="55822579"/>
    <w:rsid w:val="55967510"/>
    <w:rsid w:val="55E302FA"/>
    <w:rsid w:val="56097CE2"/>
    <w:rsid w:val="560B3A5A"/>
    <w:rsid w:val="56301675"/>
    <w:rsid w:val="563A433F"/>
    <w:rsid w:val="564B02FA"/>
    <w:rsid w:val="56665134"/>
    <w:rsid w:val="56B45E9F"/>
    <w:rsid w:val="56CB4F97"/>
    <w:rsid w:val="56D96BBB"/>
    <w:rsid w:val="56E147BB"/>
    <w:rsid w:val="57601BE6"/>
    <w:rsid w:val="57DE53EC"/>
    <w:rsid w:val="58672F9C"/>
    <w:rsid w:val="58C15511"/>
    <w:rsid w:val="59360056"/>
    <w:rsid w:val="5939268C"/>
    <w:rsid w:val="59507811"/>
    <w:rsid w:val="59525F99"/>
    <w:rsid w:val="59BD32BD"/>
    <w:rsid w:val="5A5D633E"/>
    <w:rsid w:val="5A5D684E"/>
    <w:rsid w:val="5A871B1D"/>
    <w:rsid w:val="5AFE1DDF"/>
    <w:rsid w:val="5B044F1C"/>
    <w:rsid w:val="5B4812AC"/>
    <w:rsid w:val="5B8878FB"/>
    <w:rsid w:val="5BB97AB4"/>
    <w:rsid w:val="5BBB7CD0"/>
    <w:rsid w:val="5BBE1221"/>
    <w:rsid w:val="5BD668B8"/>
    <w:rsid w:val="5BEA2363"/>
    <w:rsid w:val="5D1A6C78"/>
    <w:rsid w:val="5D2D376B"/>
    <w:rsid w:val="5D323FC2"/>
    <w:rsid w:val="5D423AD9"/>
    <w:rsid w:val="5DE27796"/>
    <w:rsid w:val="5DF23751"/>
    <w:rsid w:val="5E4F4700"/>
    <w:rsid w:val="5E587A58"/>
    <w:rsid w:val="5ED6097D"/>
    <w:rsid w:val="5EE17A4E"/>
    <w:rsid w:val="5F426C64"/>
    <w:rsid w:val="5F6366B5"/>
    <w:rsid w:val="5FB36E1F"/>
    <w:rsid w:val="5FBE7A5D"/>
    <w:rsid w:val="6008100A"/>
    <w:rsid w:val="601A3622"/>
    <w:rsid w:val="60745D0D"/>
    <w:rsid w:val="60BF5B6D"/>
    <w:rsid w:val="60E4315A"/>
    <w:rsid w:val="612E1424"/>
    <w:rsid w:val="6142054C"/>
    <w:rsid w:val="614D5034"/>
    <w:rsid w:val="617526CF"/>
    <w:rsid w:val="62015D11"/>
    <w:rsid w:val="623D76BC"/>
    <w:rsid w:val="62475BA8"/>
    <w:rsid w:val="62573F6F"/>
    <w:rsid w:val="626F7B0B"/>
    <w:rsid w:val="62AE19D2"/>
    <w:rsid w:val="62B76C48"/>
    <w:rsid w:val="63525D02"/>
    <w:rsid w:val="635D341B"/>
    <w:rsid w:val="63604865"/>
    <w:rsid w:val="63B868A3"/>
    <w:rsid w:val="641F4B74"/>
    <w:rsid w:val="64786747"/>
    <w:rsid w:val="64D25124"/>
    <w:rsid w:val="64FE570C"/>
    <w:rsid w:val="65404DA2"/>
    <w:rsid w:val="65670581"/>
    <w:rsid w:val="65AC068A"/>
    <w:rsid w:val="65B01F28"/>
    <w:rsid w:val="663A217C"/>
    <w:rsid w:val="66911D59"/>
    <w:rsid w:val="669B38C6"/>
    <w:rsid w:val="66AD6467"/>
    <w:rsid w:val="66F35EC1"/>
    <w:rsid w:val="670267B3"/>
    <w:rsid w:val="6727446C"/>
    <w:rsid w:val="67957627"/>
    <w:rsid w:val="67CB3049"/>
    <w:rsid w:val="6804655B"/>
    <w:rsid w:val="6809591F"/>
    <w:rsid w:val="681542C4"/>
    <w:rsid w:val="68570BAA"/>
    <w:rsid w:val="685F19E3"/>
    <w:rsid w:val="68725BBA"/>
    <w:rsid w:val="689A0C6D"/>
    <w:rsid w:val="68A11FFC"/>
    <w:rsid w:val="68BC0BE4"/>
    <w:rsid w:val="68CB7079"/>
    <w:rsid w:val="69B261F1"/>
    <w:rsid w:val="69E91EAC"/>
    <w:rsid w:val="6A601595"/>
    <w:rsid w:val="6A885221"/>
    <w:rsid w:val="6B8C4EA6"/>
    <w:rsid w:val="6C2076DB"/>
    <w:rsid w:val="6C3F3D03"/>
    <w:rsid w:val="6C4909E0"/>
    <w:rsid w:val="6C9205D9"/>
    <w:rsid w:val="6C9F6852"/>
    <w:rsid w:val="6CB53035"/>
    <w:rsid w:val="6CC8450A"/>
    <w:rsid w:val="6CE801F9"/>
    <w:rsid w:val="6DB76E92"/>
    <w:rsid w:val="6DCA3DA3"/>
    <w:rsid w:val="6E2C1BDC"/>
    <w:rsid w:val="6E45212F"/>
    <w:rsid w:val="6EB8009F"/>
    <w:rsid w:val="6EDC1FE0"/>
    <w:rsid w:val="6EF869AC"/>
    <w:rsid w:val="6F095927"/>
    <w:rsid w:val="6F115187"/>
    <w:rsid w:val="6F192753"/>
    <w:rsid w:val="6F2179F2"/>
    <w:rsid w:val="6F4C569B"/>
    <w:rsid w:val="6F814935"/>
    <w:rsid w:val="6F89736B"/>
    <w:rsid w:val="6FBB23B6"/>
    <w:rsid w:val="702D58F2"/>
    <w:rsid w:val="7036127C"/>
    <w:rsid w:val="70B76860"/>
    <w:rsid w:val="70CB0DED"/>
    <w:rsid w:val="70D70CB1"/>
    <w:rsid w:val="70DA60AB"/>
    <w:rsid w:val="70E77D9E"/>
    <w:rsid w:val="70F52EE5"/>
    <w:rsid w:val="71722BBA"/>
    <w:rsid w:val="71970440"/>
    <w:rsid w:val="71C72AD3"/>
    <w:rsid w:val="73216213"/>
    <w:rsid w:val="732441E3"/>
    <w:rsid w:val="7332230D"/>
    <w:rsid w:val="733817AF"/>
    <w:rsid w:val="7358488B"/>
    <w:rsid w:val="735A1725"/>
    <w:rsid w:val="7386708A"/>
    <w:rsid w:val="73B250BD"/>
    <w:rsid w:val="7443040B"/>
    <w:rsid w:val="74636A0C"/>
    <w:rsid w:val="746C5385"/>
    <w:rsid w:val="74784559"/>
    <w:rsid w:val="7487654A"/>
    <w:rsid w:val="748B700A"/>
    <w:rsid w:val="749B0247"/>
    <w:rsid w:val="749F4DE4"/>
    <w:rsid w:val="74BA06CD"/>
    <w:rsid w:val="74F811F5"/>
    <w:rsid w:val="75371D1E"/>
    <w:rsid w:val="754E73B7"/>
    <w:rsid w:val="756B5E6B"/>
    <w:rsid w:val="75A1363B"/>
    <w:rsid w:val="75C5557C"/>
    <w:rsid w:val="75CF01A8"/>
    <w:rsid w:val="75EB0D5A"/>
    <w:rsid w:val="7625383D"/>
    <w:rsid w:val="76741A57"/>
    <w:rsid w:val="769C1025"/>
    <w:rsid w:val="769E5DCD"/>
    <w:rsid w:val="76CD220E"/>
    <w:rsid w:val="76E539FB"/>
    <w:rsid w:val="77530965"/>
    <w:rsid w:val="77626DFA"/>
    <w:rsid w:val="77855432"/>
    <w:rsid w:val="78232A2D"/>
    <w:rsid w:val="7892370F"/>
    <w:rsid w:val="78E51A91"/>
    <w:rsid w:val="794706A8"/>
    <w:rsid w:val="795310F0"/>
    <w:rsid w:val="797F1EE5"/>
    <w:rsid w:val="79D00993"/>
    <w:rsid w:val="79ED6E4F"/>
    <w:rsid w:val="7A603AC5"/>
    <w:rsid w:val="7A6D3C99"/>
    <w:rsid w:val="7A7632E8"/>
    <w:rsid w:val="7AC57DCC"/>
    <w:rsid w:val="7B1D7C08"/>
    <w:rsid w:val="7B1E2772"/>
    <w:rsid w:val="7B203043"/>
    <w:rsid w:val="7B35287F"/>
    <w:rsid w:val="7BAB0D70"/>
    <w:rsid w:val="7C013085"/>
    <w:rsid w:val="7C084414"/>
    <w:rsid w:val="7CB37518"/>
    <w:rsid w:val="7CC0084B"/>
    <w:rsid w:val="7CE56503"/>
    <w:rsid w:val="7D44705A"/>
    <w:rsid w:val="7DAE0FEB"/>
    <w:rsid w:val="7E7C2107"/>
    <w:rsid w:val="7EAE5927"/>
    <w:rsid w:val="7EC5039A"/>
    <w:rsid w:val="7EEF6822"/>
    <w:rsid w:val="7F402117"/>
    <w:rsid w:val="7FC32F20"/>
    <w:rsid w:val="7FDD34C2"/>
    <w:rsid w:val="7FE93C57"/>
    <w:rsid w:val="7FF5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仿宋_GB2312" w:eastAsia="宋体" w:cs="Times New Roman"/>
      <w:kern w:val="0"/>
      <w:sz w:val="21"/>
      <w:szCs w:val="20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Times New Roman" w:hAnsi="Times New Roman" w:eastAsia="宋体" w:cs="Times New Roman"/>
      <w:sz w:val="30"/>
    </w:rPr>
  </w:style>
  <w:style w:type="paragraph" w:styleId="3">
    <w:name w:val="Body Text First Indent 2"/>
    <w:basedOn w:val="4"/>
    <w:next w:val="1"/>
    <w:qFormat/>
    <w:uiPriority w:val="0"/>
    <w:pPr>
      <w:ind w:firstLine="420"/>
    </w:p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</w:rPr>
  </w:style>
  <w:style w:type="paragraph" w:styleId="5">
    <w:name w:val="Block Text"/>
    <w:basedOn w:val="1"/>
    <w:qFormat/>
    <w:uiPriority w:val="0"/>
    <w:pPr>
      <w:spacing w:after="120"/>
      <w:ind w:left="1440" w:leftChars="700" w:right="700" w:rightChars="700"/>
    </w:p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Emphasis"/>
    <w:basedOn w:val="9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7386</Words>
  <Characters>7493</Characters>
  <Lines>0</Lines>
  <Paragraphs>0</Paragraphs>
  <TotalTime>3</TotalTime>
  <ScaleCrop>false</ScaleCrop>
  <LinksUpToDate>false</LinksUpToDate>
  <CharactersWithSpaces>7495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2024-02-22T05:58:00Z</dcterms:created>
  <dc:creator>Administrator</dc:creator>
  <cp:lastModifiedBy>Administrator</cp:lastModifiedBy>
  <cp:lastPrinted>2024-08-09T07:14:00Z</cp:lastPrinted>
  <dcterms:modified xsi:type="dcterms:W3CDTF">2024-08-09T09:22:03Z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2ADF18D36EF8489592CB09F6685DEB0F_13</vt:lpwstr>
  </property>
</Properties>
</file>