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1</w:t>
      </w:r>
    </w:p>
    <w:p>
      <w:pPr>
        <w:pStyle w:val="2"/>
        <w:rPr>
          <w:rFonts w:ascii="Times New Roman" w:hAnsi="Times New Roman" w:cs="Times New Roman"/>
        </w:rPr>
      </w:pPr>
    </w:p>
    <w:p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工业产品绿色设计示范企业（第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批）推荐汇总表</w:t>
      </w:r>
    </w:p>
    <w:p>
      <w:pPr>
        <w:pStyle w:val="2"/>
        <w:rPr>
          <w:rFonts w:ascii="Times New Roman" w:hAnsi="Times New Roman" w:eastAsia="宋体"/>
          <w:sz w:val="21"/>
          <w:szCs w:val="22"/>
        </w:rPr>
      </w:pPr>
    </w:p>
    <w:p>
      <w:pPr>
        <w:spacing w:line="600" w:lineRule="auto"/>
        <w:jc w:val="left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推荐单位：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213"/>
        <w:gridCol w:w="1350"/>
        <w:gridCol w:w="1450"/>
        <w:gridCol w:w="1661"/>
        <w:gridCol w:w="1750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企业类型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202</w:t>
            </w:r>
            <w:r>
              <w:rPr>
                <w:rFonts w:hint="eastAsia" w:eastAsia="黑体" w:cs="Times New Roman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年主营业务收入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202</w:t>
            </w:r>
            <w:r>
              <w:rPr>
                <w:rFonts w:hint="eastAsia" w:eastAsia="黑体" w:cs="Times New Roman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年绿色产品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>*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销售收入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企业自评价得分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noWrap w:val="0"/>
            <w:vAlign w:val="top"/>
          </w:tcPr>
          <w:p>
            <w:pPr>
              <w:spacing w:line="600" w:lineRule="auto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spacing w:line="600" w:lineRule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spacing w:line="600" w:lineRule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spacing w:line="600" w:lineRule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61" w:type="dxa"/>
            <w:noWrap w:val="0"/>
            <w:vAlign w:val="top"/>
          </w:tcPr>
          <w:p>
            <w:pPr>
              <w:spacing w:line="600" w:lineRule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50" w:type="dxa"/>
            <w:noWrap w:val="0"/>
            <w:vAlign w:val="top"/>
          </w:tcPr>
          <w:p>
            <w:pPr>
              <w:spacing w:line="600" w:lineRule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noWrap w:val="0"/>
            <w:vAlign w:val="top"/>
          </w:tcPr>
          <w:p>
            <w:pPr>
              <w:spacing w:line="600" w:lineRule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noWrap w:val="0"/>
            <w:vAlign w:val="top"/>
          </w:tcPr>
          <w:p>
            <w:pPr>
              <w:spacing w:line="600" w:lineRule="auto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spacing w:line="600" w:lineRule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spacing w:line="600" w:lineRule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spacing w:line="600" w:lineRule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61" w:type="dxa"/>
            <w:noWrap w:val="0"/>
            <w:vAlign w:val="top"/>
          </w:tcPr>
          <w:p>
            <w:pPr>
              <w:spacing w:line="600" w:lineRule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50" w:type="dxa"/>
            <w:noWrap w:val="0"/>
            <w:vAlign w:val="top"/>
          </w:tcPr>
          <w:p>
            <w:pPr>
              <w:spacing w:line="600" w:lineRule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noWrap w:val="0"/>
            <w:vAlign w:val="top"/>
          </w:tcPr>
          <w:p>
            <w:pPr>
              <w:spacing w:line="600" w:lineRule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noWrap w:val="0"/>
            <w:vAlign w:val="top"/>
          </w:tcPr>
          <w:p>
            <w:pPr>
              <w:spacing w:line="600" w:lineRule="auto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spacing w:line="600" w:lineRule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spacing w:line="600" w:lineRule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spacing w:line="600" w:lineRule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61" w:type="dxa"/>
            <w:noWrap w:val="0"/>
            <w:vAlign w:val="top"/>
          </w:tcPr>
          <w:p>
            <w:pPr>
              <w:spacing w:line="600" w:lineRule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50" w:type="dxa"/>
            <w:noWrap w:val="0"/>
            <w:vAlign w:val="top"/>
          </w:tcPr>
          <w:p>
            <w:pPr>
              <w:spacing w:line="600" w:lineRule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noWrap w:val="0"/>
            <w:vAlign w:val="top"/>
          </w:tcPr>
          <w:p>
            <w:pPr>
              <w:spacing w:line="600" w:lineRule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noWrap w:val="0"/>
            <w:vAlign w:val="top"/>
          </w:tcPr>
          <w:p>
            <w:pPr>
              <w:spacing w:line="600" w:lineRule="auto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spacing w:line="600" w:lineRule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spacing w:line="600" w:lineRule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spacing w:line="600" w:lineRule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61" w:type="dxa"/>
            <w:noWrap w:val="0"/>
            <w:vAlign w:val="top"/>
          </w:tcPr>
          <w:p>
            <w:pPr>
              <w:spacing w:line="600" w:lineRule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50" w:type="dxa"/>
            <w:noWrap w:val="0"/>
            <w:vAlign w:val="top"/>
          </w:tcPr>
          <w:p>
            <w:pPr>
              <w:spacing w:line="600" w:lineRule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noWrap w:val="0"/>
            <w:vAlign w:val="top"/>
          </w:tcPr>
          <w:p>
            <w:pPr>
              <w:spacing w:line="600" w:lineRule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noWrap w:val="0"/>
            <w:vAlign w:val="top"/>
          </w:tcPr>
          <w:p>
            <w:pPr>
              <w:spacing w:line="600" w:lineRule="auto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spacing w:line="600" w:lineRule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spacing w:line="600" w:lineRule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spacing w:line="600" w:lineRule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61" w:type="dxa"/>
            <w:noWrap w:val="0"/>
            <w:vAlign w:val="top"/>
          </w:tcPr>
          <w:p>
            <w:pPr>
              <w:spacing w:line="600" w:lineRule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50" w:type="dxa"/>
            <w:noWrap w:val="0"/>
            <w:vAlign w:val="top"/>
          </w:tcPr>
          <w:p>
            <w:pPr>
              <w:spacing w:line="600" w:lineRule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noWrap w:val="0"/>
            <w:vAlign w:val="top"/>
          </w:tcPr>
          <w:p>
            <w:pPr>
              <w:spacing w:line="600" w:lineRule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noWrap w:val="0"/>
            <w:vAlign w:val="top"/>
          </w:tcPr>
          <w:p>
            <w:pPr>
              <w:spacing w:line="600" w:lineRule="auto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spacing w:line="600" w:lineRule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spacing w:line="600" w:lineRule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spacing w:line="600" w:lineRule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61" w:type="dxa"/>
            <w:noWrap w:val="0"/>
            <w:vAlign w:val="top"/>
          </w:tcPr>
          <w:p>
            <w:pPr>
              <w:spacing w:line="600" w:lineRule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50" w:type="dxa"/>
            <w:noWrap w:val="0"/>
            <w:vAlign w:val="top"/>
          </w:tcPr>
          <w:p>
            <w:pPr>
              <w:spacing w:line="600" w:lineRule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noWrap w:val="0"/>
            <w:vAlign w:val="top"/>
          </w:tcPr>
          <w:p>
            <w:pPr>
              <w:spacing w:line="600" w:lineRule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noWrap w:val="0"/>
            <w:vAlign w:val="top"/>
          </w:tcPr>
          <w:p>
            <w:pPr>
              <w:spacing w:line="600" w:lineRule="auto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spacing w:line="600" w:lineRule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spacing w:line="600" w:lineRule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spacing w:line="600" w:lineRule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61" w:type="dxa"/>
            <w:noWrap w:val="0"/>
            <w:vAlign w:val="top"/>
          </w:tcPr>
          <w:p>
            <w:pPr>
              <w:spacing w:line="600" w:lineRule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50" w:type="dxa"/>
            <w:noWrap w:val="0"/>
            <w:vAlign w:val="top"/>
          </w:tcPr>
          <w:p>
            <w:pPr>
              <w:spacing w:line="600" w:lineRule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noWrap w:val="0"/>
            <w:vAlign w:val="top"/>
          </w:tcPr>
          <w:p>
            <w:pPr>
              <w:spacing w:line="600" w:lineRule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noWrap w:val="0"/>
            <w:vAlign w:val="top"/>
          </w:tcPr>
          <w:p>
            <w:pPr>
              <w:spacing w:line="600" w:lineRule="auto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spacing w:line="600" w:lineRule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spacing w:line="600" w:lineRule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spacing w:line="600" w:lineRule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61" w:type="dxa"/>
            <w:noWrap w:val="0"/>
            <w:vAlign w:val="top"/>
          </w:tcPr>
          <w:p>
            <w:pPr>
              <w:spacing w:line="600" w:lineRule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50" w:type="dxa"/>
            <w:noWrap w:val="0"/>
            <w:vAlign w:val="top"/>
          </w:tcPr>
          <w:p>
            <w:pPr>
              <w:spacing w:line="600" w:lineRule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noWrap w:val="0"/>
            <w:vAlign w:val="top"/>
          </w:tcPr>
          <w:p>
            <w:pPr>
              <w:spacing w:line="600" w:lineRule="auto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</w:tbl>
    <w:p>
      <w:pPr>
        <w:snapToGrid w:val="0"/>
        <w:rPr>
          <w:rFonts w:ascii="Times New Roman" w:hAnsi="Times New Roman" w:cs="Times New Roman"/>
          <w:sz w:val="24"/>
          <w:szCs w:val="24"/>
        </w:rPr>
      </w:pPr>
    </w:p>
    <w:p>
      <w:pPr>
        <w:numPr>
          <w:ilvl w:val="0"/>
          <w:numId w:val="0"/>
        </w:numPr>
        <w:snapToGrid w:val="0"/>
        <w:ind w:firstLine="0" w:firstLineChars="0"/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default" w:ascii="Times New Roman" w:hAnsi="Times New Roman" w:eastAsia="楷体" w:cs="Times New Roman"/>
          <w:sz w:val="24"/>
          <w:szCs w:val="24"/>
        </w:rPr>
        <w:t>备注</w:t>
      </w:r>
      <w:r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  <w:t>*</w:t>
      </w:r>
      <w:r>
        <w:rPr>
          <w:rFonts w:hint="default" w:ascii="Times New Roman" w:hAnsi="Times New Roman" w:eastAsia="楷体" w:cs="Times New Roman"/>
          <w:sz w:val="24"/>
          <w:szCs w:val="24"/>
        </w:rPr>
        <w:t>：</w:t>
      </w:r>
      <w:r>
        <w:rPr>
          <w:rFonts w:hint="eastAsia" w:eastAsia="楷体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楷体" w:cs="Times New Roman"/>
          <w:sz w:val="24"/>
          <w:szCs w:val="24"/>
        </w:rPr>
        <w:t>绿色产品范围参见《绿色设计示范企业自评价表》中3.3.1绿色产品开发情</w:t>
      </w:r>
    </w:p>
    <w:p>
      <w:pPr>
        <w:numPr>
          <w:ilvl w:val="0"/>
          <w:numId w:val="0"/>
        </w:numPr>
        <w:snapToGrid w:val="0"/>
        <w:ind w:firstLine="960" w:firstLineChars="400"/>
        <w:rPr>
          <w:rFonts w:hint="eastAsia" w:eastAsia="楷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楷体" w:cs="Times New Roman"/>
          <w:sz w:val="24"/>
          <w:szCs w:val="24"/>
        </w:rPr>
        <w:t>况</w:t>
      </w:r>
      <w:r>
        <w:rPr>
          <w:rFonts w:hint="eastAsia" w:eastAsia="楷体" w:cs="Times New Roman"/>
          <w:sz w:val="24"/>
          <w:szCs w:val="24"/>
          <w:lang w:eastAsia="zh-CN"/>
        </w:rPr>
        <w:t>；</w:t>
      </w:r>
    </w:p>
    <w:p>
      <w:pPr>
        <w:numPr>
          <w:ilvl w:val="0"/>
          <w:numId w:val="0"/>
        </w:numPr>
        <w:snapToGrid w:val="0"/>
        <w:rPr>
          <w:rFonts w:hint="default" w:eastAsia="楷体"/>
          <w:sz w:val="24"/>
          <w:szCs w:val="24"/>
          <w:lang w:eastAsia="zh-CN"/>
        </w:rPr>
      </w:pPr>
      <w:r>
        <w:rPr>
          <w:rFonts w:hint="eastAsia" w:eastAsia="楷体" w:cs="Times New Roman"/>
          <w:sz w:val="24"/>
          <w:szCs w:val="24"/>
          <w:lang w:val="en-US" w:eastAsia="zh-CN"/>
        </w:rPr>
        <w:t xml:space="preserve">       2.</w:t>
      </w:r>
      <w:r>
        <w:rPr>
          <w:rFonts w:hint="default" w:eastAsia="楷体"/>
          <w:sz w:val="24"/>
          <w:szCs w:val="24"/>
          <w:lang w:eastAsia="zh-CN"/>
        </w:rPr>
        <w:t>企业类型：</w:t>
      </w:r>
      <w:r>
        <w:rPr>
          <w:rFonts w:hint="default" w:eastAsia="楷体"/>
          <w:sz w:val="24"/>
          <w:szCs w:val="24"/>
        </w:rPr>
        <w:t>内资</w:t>
      </w:r>
      <w:r>
        <w:rPr>
          <w:rFonts w:hint="default" w:eastAsia="楷体"/>
          <w:sz w:val="24"/>
          <w:szCs w:val="24"/>
          <w:lang w:eastAsia="zh-CN"/>
        </w:rPr>
        <w:t>、</w:t>
      </w:r>
      <w:r>
        <w:rPr>
          <w:rFonts w:hint="default" w:eastAsia="楷体"/>
          <w:sz w:val="24"/>
          <w:szCs w:val="24"/>
        </w:rPr>
        <w:t>中外合资</w:t>
      </w:r>
      <w:r>
        <w:rPr>
          <w:rFonts w:hint="default" w:eastAsia="楷体"/>
          <w:sz w:val="24"/>
          <w:szCs w:val="24"/>
          <w:lang w:eastAsia="zh-CN"/>
        </w:rPr>
        <w:t>、</w:t>
      </w:r>
      <w:r>
        <w:rPr>
          <w:rFonts w:hint="default" w:eastAsia="楷体"/>
          <w:sz w:val="24"/>
          <w:szCs w:val="24"/>
        </w:rPr>
        <w:t>港澳台</w:t>
      </w:r>
      <w:r>
        <w:rPr>
          <w:rFonts w:hint="default" w:eastAsia="楷体"/>
          <w:sz w:val="24"/>
          <w:szCs w:val="24"/>
          <w:lang w:eastAsia="zh-CN"/>
        </w:rPr>
        <w:t>、</w:t>
      </w:r>
      <w:r>
        <w:rPr>
          <w:rFonts w:hint="default" w:eastAsia="楷体"/>
          <w:sz w:val="24"/>
          <w:szCs w:val="24"/>
        </w:rPr>
        <w:t>外商独资</w:t>
      </w:r>
      <w:r>
        <w:rPr>
          <w:rFonts w:hint="default" w:eastAsia="楷体"/>
          <w:sz w:val="24"/>
          <w:szCs w:val="24"/>
          <w:lang w:eastAsia="zh-CN"/>
        </w:rPr>
        <w:t>。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"/>
        <w:spacing w:after="0"/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757" w:right="1531" w:bottom="1757" w:left="1531" w:header="851" w:footer="992" w:gutter="0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Segoe Print"/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14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vbGRr0QAAAAIBAAAPAAAAAAAAAAEAIAAAACIAAABkcnMvZG93&#10;bnJldi54bWxQSwECFAAUAAAACACHTuJAkFZmfs4BAAB2AwAADgAAAAAAAAABACAAAAAgAQAAZHJz&#10;L2Uyb0RvYy54bWxQSwUGAAAAAAYABgBZAQAAY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14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trackRevisions w:val="1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760"/>
    <w:rsid w:val="00003712"/>
    <w:rsid w:val="0000700C"/>
    <w:rsid w:val="00067FD9"/>
    <w:rsid w:val="000C49E7"/>
    <w:rsid w:val="00127B3B"/>
    <w:rsid w:val="00151F51"/>
    <w:rsid w:val="00172187"/>
    <w:rsid w:val="001C13DB"/>
    <w:rsid w:val="00223E55"/>
    <w:rsid w:val="002537DE"/>
    <w:rsid w:val="00254CCC"/>
    <w:rsid w:val="00266BD2"/>
    <w:rsid w:val="00295714"/>
    <w:rsid w:val="002A035B"/>
    <w:rsid w:val="002A3EBF"/>
    <w:rsid w:val="002B2D5B"/>
    <w:rsid w:val="002C5510"/>
    <w:rsid w:val="002D5797"/>
    <w:rsid w:val="00350418"/>
    <w:rsid w:val="00360949"/>
    <w:rsid w:val="003C1025"/>
    <w:rsid w:val="003C1434"/>
    <w:rsid w:val="003D42FD"/>
    <w:rsid w:val="003E03C4"/>
    <w:rsid w:val="003F3A18"/>
    <w:rsid w:val="00454F4E"/>
    <w:rsid w:val="004C6FF4"/>
    <w:rsid w:val="0050395D"/>
    <w:rsid w:val="00512FF6"/>
    <w:rsid w:val="005531F2"/>
    <w:rsid w:val="005633BF"/>
    <w:rsid w:val="00570805"/>
    <w:rsid w:val="005D4C75"/>
    <w:rsid w:val="005E2BA2"/>
    <w:rsid w:val="00601C65"/>
    <w:rsid w:val="00624448"/>
    <w:rsid w:val="006274EC"/>
    <w:rsid w:val="00651D27"/>
    <w:rsid w:val="00683163"/>
    <w:rsid w:val="006A4A35"/>
    <w:rsid w:val="006C19B2"/>
    <w:rsid w:val="00710652"/>
    <w:rsid w:val="0072173E"/>
    <w:rsid w:val="00736D01"/>
    <w:rsid w:val="00781333"/>
    <w:rsid w:val="007B4441"/>
    <w:rsid w:val="007F3554"/>
    <w:rsid w:val="008072D5"/>
    <w:rsid w:val="00854F7E"/>
    <w:rsid w:val="00890886"/>
    <w:rsid w:val="008A5EC2"/>
    <w:rsid w:val="008C1760"/>
    <w:rsid w:val="008C5CCF"/>
    <w:rsid w:val="008E5495"/>
    <w:rsid w:val="008F5ECE"/>
    <w:rsid w:val="00905DB8"/>
    <w:rsid w:val="00924D3E"/>
    <w:rsid w:val="009363D2"/>
    <w:rsid w:val="00991954"/>
    <w:rsid w:val="009D0720"/>
    <w:rsid w:val="00A262B1"/>
    <w:rsid w:val="00A27567"/>
    <w:rsid w:val="00A4611F"/>
    <w:rsid w:val="00A52267"/>
    <w:rsid w:val="00A60EFB"/>
    <w:rsid w:val="00AA76EC"/>
    <w:rsid w:val="00AB21AD"/>
    <w:rsid w:val="00AE5271"/>
    <w:rsid w:val="00AF3D4B"/>
    <w:rsid w:val="00AF4DD7"/>
    <w:rsid w:val="00AF620C"/>
    <w:rsid w:val="00AF6EEE"/>
    <w:rsid w:val="00B16BD8"/>
    <w:rsid w:val="00B617D6"/>
    <w:rsid w:val="00B757E1"/>
    <w:rsid w:val="00B75EF4"/>
    <w:rsid w:val="00BA01E0"/>
    <w:rsid w:val="00BB652E"/>
    <w:rsid w:val="00C14B59"/>
    <w:rsid w:val="00C238D3"/>
    <w:rsid w:val="00C6594E"/>
    <w:rsid w:val="00C6732D"/>
    <w:rsid w:val="00C733C3"/>
    <w:rsid w:val="00CA0E51"/>
    <w:rsid w:val="00CF7AC2"/>
    <w:rsid w:val="00D134B0"/>
    <w:rsid w:val="00D40C7B"/>
    <w:rsid w:val="00D55EB1"/>
    <w:rsid w:val="00D57EE5"/>
    <w:rsid w:val="00D7777C"/>
    <w:rsid w:val="00DD7B34"/>
    <w:rsid w:val="00E54301"/>
    <w:rsid w:val="00E54764"/>
    <w:rsid w:val="00E777AE"/>
    <w:rsid w:val="00EB27AE"/>
    <w:rsid w:val="00EC0400"/>
    <w:rsid w:val="00EC52DD"/>
    <w:rsid w:val="00F02AA3"/>
    <w:rsid w:val="00F07D88"/>
    <w:rsid w:val="00F838AC"/>
    <w:rsid w:val="00F932CF"/>
    <w:rsid w:val="00FB6556"/>
    <w:rsid w:val="07522641"/>
    <w:rsid w:val="1B7B3891"/>
    <w:rsid w:val="1FAFDA60"/>
    <w:rsid w:val="27263FCE"/>
    <w:rsid w:val="2A79478C"/>
    <w:rsid w:val="2FFD404E"/>
    <w:rsid w:val="3C36184D"/>
    <w:rsid w:val="3EAF0D99"/>
    <w:rsid w:val="3F2FCF73"/>
    <w:rsid w:val="3FDC6D9C"/>
    <w:rsid w:val="4ECFDCFB"/>
    <w:rsid w:val="534B8EB1"/>
    <w:rsid w:val="5A165155"/>
    <w:rsid w:val="5DF182D7"/>
    <w:rsid w:val="5FFE557A"/>
    <w:rsid w:val="5FFF2B33"/>
    <w:rsid w:val="5FFF3FAC"/>
    <w:rsid w:val="6FD701F6"/>
    <w:rsid w:val="6FDF66C9"/>
    <w:rsid w:val="71849950"/>
    <w:rsid w:val="71FB6652"/>
    <w:rsid w:val="737D4D48"/>
    <w:rsid w:val="77B76BBB"/>
    <w:rsid w:val="78EF0A05"/>
    <w:rsid w:val="7BCD2CB7"/>
    <w:rsid w:val="7BEF0B29"/>
    <w:rsid w:val="7D5EB028"/>
    <w:rsid w:val="7E7BABA4"/>
    <w:rsid w:val="7EF975A5"/>
    <w:rsid w:val="7FD62BB8"/>
    <w:rsid w:val="9FFA3DA6"/>
    <w:rsid w:val="A97C9DE4"/>
    <w:rsid w:val="BBEF3439"/>
    <w:rsid w:val="BFDF7571"/>
    <w:rsid w:val="CCCFC3F1"/>
    <w:rsid w:val="D46FC9AB"/>
    <w:rsid w:val="DBD7BF26"/>
    <w:rsid w:val="DE9F821C"/>
    <w:rsid w:val="DF1DD501"/>
    <w:rsid w:val="DFFF3129"/>
    <w:rsid w:val="F36E7CEC"/>
    <w:rsid w:val="F6EE13DF"/>
    <w:rsid w:val="F7A6CFA0"/>
    <w:rsid w:val="F7DDCFD2"/>
    <w:rsid w:val="FDF7217A"/>
    <w:rsid w:val="FE9D9D9E"/>
    <w:rsid w:val="FF6F354F"/>
    <w:rsid w:val="FFAB2B53"/>
    <w:rsid w:val="FFBD23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annotation text"/>
    <w:basedOn w:val="1"/>
    <w:link w:val="15"/>
    <w:uiPriority w:val="0"/>
    <w:pPr>
      <w:jc w:val="left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annotation subject"/>
    <w:basedOn w:val="3"/>
    <w:next w:val="3"/>
    <w:link w:val="14"/>
    <w:qFormat/>
    <w:uiPriority w:val="0"/>
    <w:rPr>
      <w:b/>
      <w:bCs/>
    </w:rPr>
  </w:style>
  <w:style w:type="table" w:styleId="10">
    <w:name w:val="Table Grid"/>
    <w:basedOn w:val="9"/>
    <w:qFormat/>
    <w:uiPriority w:val="39"/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qFormat/>
    <w:uiPriority w:val="0"/>
    <w:rPr>
      <w:sz w:val="21"/>
      <w:szCs w:val="21"/>
    </w:rPr>
  </w:style>
  <w:style w:type="paragraph" w:customStyle="1" w:styleId="13">
    <w:name w:val="_Style 12"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4">
    <w:name w:val="批注主题 字符"/>
    <w:link w:val="8"/>
    <w:qFormat/>
    <w:uiPriority w:val="0"/>
    <w:rPr>
      <w:b/>
      <w:bCs/>
      <w:kern w:val="2"/>
      <w:sz w:val="21"/>
      <w:szCs w:val="22"/>
    </w:rPr>
  </w:style>
  <w:style w:type="character" w:customStyle="1" w:styleId="15">
    <w:name w:val="批注文字 字符"/>
    <w:link w:val="3"/>
    <w:qFormat/>
    <w:uiPriority w:val="0"/>
    <w:rPr>
      <w:kern w:val="2"/>
      <w:sz w:val="21"/>
      <w:szCs w:val="22"/>
    </w:rPr>
  </w:style>
  <w:style w:type="character" w:customStyle="1" w:styleId="16">
    <w:name w:val="批注框文本 字符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922</Words>
  <Characters>5258</Characters>
  <Lines>43</Lines>
  <Paragraphs>12</Paragraphs>
  <TotalTime>0</TotalTime>
  <ScaleCrop>false</ScaleCrop>
  <LinksUpToDate>false</LinksUpToDate>
  <CharactersWithSpaces>6168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2021-02-27T06:40:00Z</dcterms:created>
  <dc:creator>kylin</dc:creator>
  <cp:lastModifiedBy>Administrator</cp:lastModifiedBy>
  <dcterms:modified xsi:type="dcterms:W3CDTF">2022-05-05T06:39:42Z</dcterms:modified>
  <dc:title>为贯彻落实新发展理念，加快推行绿色设计，促进制造业高质量发展，推动环境保护和生态文明建设，现组织开展第二批工业产品绿色示范企业推荐工作。有关事项通知如下：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8F91EFCF81D4498499D1CEB4B6E412A8</vt:lpwstr>
  </property>
</Properties>
</file>