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i w:val="0"/>
          <w:caps w:val="0"/>
          <w:color w:val="191919"/>
          <w:spacing w:val="0"/>
          <w:sz w:val="32"/>
          <w:szCs w:val="32"/>
          <w:shd w:val="clear" w:fill="FFFFFF"/>
        </w:rPr>
        <w:t>拟</w:t>
      </w:r>
      <w:r>
        <w:rPr>
          <w:rFonts w:hint="eastAsia" w:ascii="仿宋_GB2312" w:hAnsi="仿宋_GB2312" w:eastAsia="仿宋_GB2312" w:cs="仿宋_GB2312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认定</w:t>
      </w:r>
      <w:r>
        <w:rPr>
          <w:rFonts w:hint="eastAsia" w:ascii="仿宋_GB2312" w:hAnsi="仿宋_GB2312" w:eastAsia="仿宋_GB2312" w:cs="仿宋_GB2312"/>
          <w:i w:val="0"/>
          <w:caps w:val="0"/>
          <w:color w:val="191919"/>
          <w:spacing w:val="0"/>
          <w:sz w:val="32"/>
          <w:szCs w:val="32"/>
          <w:shd w:val="clear" w:fill="FFFFFF"/>
        </w:rPr>
        <w:t>2019年“山东省</w:t>
      </w:r>
      <w:r>
        <w:rPr>
          <w:rFonts w:hint="eastAsia" w:ascii="仿宋_GB2312" w:hAnsi="仿宋_GB2312" w:eastAsia="仿宋_GB2312" w:cs="仿宋_GB2312"/>
          <w:i w:val="0"/>
          <w:caps w:val="0"/>
          <w:color w:val="191919"/>
          <w:spacing w:val="0"/>
          <w:sz w:val="32"/>
          <w:szCs w:val="32"/>
          <w:shd w:val="clear" w:fill="FFFFFF"/>
          <w:lang w:val="en-US" w:eastAsia="zh-CN"/>
        </w:rPr>
        <w:t>质量标杆</w:t>
      </w:r>
      <w:r>
        <w:rPr>
          <w:rFonts w:hint="eastAsia" w:ascii="仿宋_GB2312" w:hAnsi="仿宋_GB2312" w:eastAsia="仿宋_GB2312" w:cs="仿宋_GB2312"/>
          <w:i w:val="0"/>
          <w:caps w:val="0"/>
          <w:color w:val="191919"/>
          <w:spacing w:val="0"/>
          <w:sz w:val="32"/>
          <w:szCs w:val="32"/>
          <w:shd w:val="clear" w:fill="FFFFFF"/>
        </w:rPr>
        <w:t>”名单</w:t>
      </w:r>
    </w:p>
    <w:p>
      <w:pPr>
        <w:rPr>
          <w:rFonts w:hint="eastAsia"/>
          <w:lang w:val="en-US" w:eastAsia="zh-CN"/>
        </w:rPr>
      </w:pPr>
    </w:p>
    <w:tbl>
      <w:tblPr>
        <w:tblStyle w:val="2"/>
        <w:tblW w:w="82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1"/>
        <w:gridCol w:w="3785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典型经验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所在市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山东华凌电缆有限公司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自报质量问题不罚，发现质量问题奖励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山东金城医药化工有限公司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实施精益运营管理体系的经验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山东泰宝防伪技术产品有限公司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实施ISO9000质量管理体系管理的经验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山东华安新材料有限公司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全面质量管理经验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山东金城柯瑞化学有限公司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推行精益质量管理的经验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山东雷帕得汽车技术股份有限公司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基于“全员创新改善+项目管理”双轮驱动的创新管理经验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中国万达集团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股份有限公司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四位一体精益供应链管理体系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烟台欣和企业食品有限公司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实施全过程信息化质量管理的经验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山东舒朗服装服饰股份有限公司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实施智能化+平台化全价值链品控管理模式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山东道恩高分子材料股份有限公司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汽车行业质量管理体系和防错思想综合应用的经验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山东玉马遮阳科技股份有限公司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关于实施个性化规模定制模式的经验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金马工业集团股份有限公司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精益生产实现提质增效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威海拓展纤维有限公司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产品制造过程能力的实战经验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文登威力工具集团有限公司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实施“5+3”生产全过程质量管理的经验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山东威达机械股份有限公司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基于智能化、信息化、标准化条件下质量管理的经验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金猴集团有限公司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质量管理体系和卓越绩效为核心的全面质量管理模式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阳谷祥光铜业有限公司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构建开放性绿色循环经济模式的经验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华润昂德生物药业有限公司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实施全生命周期I-TQ质量管理模式的实践经验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山东冠洲股份有限公司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实施客户导向的CQR质量管理的经验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山东东阿钢球集团有限公司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ASIS质量改善的推进及应用情况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山东奥克特化工有限公司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新形势下实施卓越绩效发展模式的经验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乖宝宠物食品集团有限责任公司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实施互联网+MCN客户定制管理模式的经验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51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魏桥纺织股份有限公司</w:t>
            </w:r>
          </w:p>
        </w:tc>
        <w:tc>
          <w:tcPr>
            <w:tcW w:w="378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实施智能化流程管控，打造高端纺织品牌管理经验</w:t>
            </w:r>
          </w:p>
        </w:tc>
        <w:tc>
          <w:tcPr>
            <w:tcW w:w="1105" w:type="dxa"/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14388"/>
    <w:rsid w:val="60D143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2019-07-17T01:55:00Z</dcterms:created>
  <dc:creator>中国梦</dc:creator>
  <cp:lastModifiedBy>中国梦</cp:lastModifiedBy>
  <dcterms:modified xsi:type="dcterms:W3CDTF">2019-07-17T01:56:09Z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