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84" w:rsidRDefault="00D45584" w:rsidP="00D45584">
      <w:pPr>
        <w:widowControl/>
        <w:jc w:val="left"/>
        <w:rPr>
          <w:rFonts w:ascii="黑体" w:eastAsia="黑体" w:hAnsi="黑体" w:cs="黑体"/>
          <w:spacing w:val="-6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-6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/>
          <w:spacing w:val="-6"/>
          <w:sz w:val="32"/>
          <w:szCs w:val="32"/>
          <w:shd w:val="clear" w:color="auto" w:fill="FFFFFF"/>
        </w:rPr>
        <w:t>1</w:t>
      </w:r>
    </w:p>
    <w:p w:rsidR="00D45584" w:rsidRPr="00025E2C" w:rsidRDefault="00D45584" w:rsidP="00D45584">
      <w:pPr>
        <w:spacing w:afterLines="100" w:after="312" w:line="700" w:lineRule="exact"/>
        <w:jc w:val="center"/>
        <w:rPr>
          <w:rFonts w:ascii="方正小标宋_GBK" w:eastAsia="方正小标宋_GBK" w:hAnsi="方正小标宋简体" w:hint="eastAsia"/>
          <w:sz w:val="44"/>
          <w:szCs w:val="44"/>
        </w:rPr>
      </w:pPr>
      <w:r w:rsidRPr="00025E2C">
        <w:rPr>
          <w:rFonts w:ascii="方正小标宋_GBK" w:eastAsia="方正小标宋_GBK" w:hAnsi="方正小标宋简体" w:cs="方正小标宋简体" w:hint="eastAsia"/>
          <w:sz w:val="44"/>
          <w:szCs w:val="44"/>
        </w:rPr>
        <w:t>山东省“十强”产业参考目录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7404"/>
      </w:tblGrid>
      <w:tr w:rsidR="00D45584" w:rsidRPr="00025E2C" w:rsidTr="00C0304E">
        <w:trPr>
          <w:trHeight w:val="452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025E2C">
              <w:rPr>
                <w:rFonts w:ascii="黑体" w:eastAsia="黑体" w:hAnsi="黑体" w:cs="黑体" w:hint="eastAsia"/>
                <w:szCs w:val="21"/>
              </w:rPr>
              <w:t>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025E2C">
              <w:rPr>
                <w:rFonts w:ascii="黑体" w:eastAsia="黑体" w:hAnsi="黑体" w:cs="黑体" w:hint="eastAsia"/>
                <w:szCs w:val="21"/>
              </w:rPr>
              <w:t>重点领域</w:t>
            </w:r>
          </w:p>
        </w:tc>
      </w:tr>
      <w:tr w:rsidR="00D45584" w:rsidRPr="00025E2C" w:rsidTr="00C0304E">
        <w:trPr>
          <w:trHeight w:val="1122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新一代信息技术产业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高性能计算、人工智能、传感器、虚拟现实、基础软件、量子通信技术、“互联网+”生态体系、数字经济、大数据、智慧城市、云计算、信息安全、地理信息产业</w:t>
            </w:r>
          </w:p>
        </w:tc>
      </w:tr>
      <w:tr w:rsidR="00D45584" w:rsidRPr="00025E2C" w:rsidTr="00C0304E">
        <w:trPr>
          <w:trHeight w:val="107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高端装备产业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轨道交通、工程机械、农机装备、动力机械、高端发动机、高效电机、自动变速器、高端液压件、高精度减速器、高速列车、通用飞机、数控机床、工业机器人、特种机器人、服务机器人、装备制造业标准化、智能工厂、数字车间</w:t>
            </w:r>
          </w:p>
        </w:tc>
      </w:tr>
      <w:tr w:rsidR="00D45584" w:rsidRPr="00025E2C" w:rsidTr="00C0304E">
        <w:trPr>
          <w:trHeight w:val="107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Default="00D45584" w:rsidP="00C0304E">
            <w:pPr>
              <w:jc w:val="center"/>
              <w:rPr>
                <w:rFonts w:ascii="汉仪书宋一简" w:eastAsia="汉仪书宋一简" w:hAnsi="仿宋" w:cs="仿宋_GB2312"/>
                <w:kern w:val="0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新能源新材料</w:t>
            </w:r>
          </w:p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新能源电池、汽车电控、氢燃料电池、新能源汽车分时租赁、储能电池充换电、分布式能源、可再生能源、海洋能、碳纤维、石墨烯、生物基材料、高分子材料、无机非金属材料、磁性材料</w:t>
            </w:r>
          </w:p>
        </w:tc>
      </w:tr>
      <w:tr w:rsidR="00D45584" w:rsidRPr="00025E2C" w:rsidTr="00C0304E">
        <w:trPr>
          <w:trHeight w:val="107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现代海洋产业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智慧海洋、海上粮仓、海洋牧场、深远海远洋和极地渔业、透明海洋、海底矿产资源勘探及试开采、海洋生物、海洋高端装备、海洋生物医药、海洋信息、涉海商务、海水淡化、深海远海极地技术装备及系统</w:t>
            </w:r>
          </w:p>
        </w:tc>
      </w:tr>
      <w:tr w:rsidR="00D45584" w:rsidRPr="00025E2C" w:rsidTr="00C0304E">
        <w:trPr>
          <w:trHeight w:val="73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医养健康产业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生物医药、海洋药物、中药、生物医学工程、医疗健康大数据、移动医疗、远程医疗、智慧医疗、智慧医院、医疗养老联合体</w:t>
            </w:r>
          </w:p>
        </w:tc>
      </w:tr>
      <w:tr w:rsidR="00D45584" w:rsidRPr="00025E2C" w:rsidTr="00C0304E">
        <w:trPr>
          <w:trHeight w:val="73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高端化工产业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新型煤化工、精细盐化工</w:t>
            </w:r>
          </w:p>
        </w:tc>
      </w:tr>
      <w:tr w:rsidR="00D45584" w:rsidRPr="00025E2C" w:rsidTr="00C0304E">
        <w:trPr>
          <w:trHeight w:val="73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现代高效农业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智慧农业、定制农业、体验农业、农村电商、云农场、冷链物流、特色农产品</w:t>
            </w:r>
          </w:p>
        </w:tc>
      </w:tr>
      <w:tr w:rsidR="00D45584" w:rsidRPr="00025E2C" w:rsidTr="00C0304E">
        <w:trPr>
          <w:trHeight w:val="73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文化创意产业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文化创意、设计服务、新型文化业态、建筑设计、时尚服装设计</w:t>
            </w:r>
          </w:p>
        </w:tc>
      </w:tr>
      <w:tr w:rsidR="00D45584" w:rsidRPr="00025E2C" w:rsidTr="00C0304E">
        <w:trPr>
          <w:trHeight w:val="737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t>精品旅游产业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精品旅游、旅游服务、低空飞行、旅游演艺、生态休闲、康体健身、邮轮旅</w:t>
            </w: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lastRenderedPageBreak/>
              <w:t>游、全域旅游</w:t>
            </w:r>
          </w:p>
        </w:tc>
      </w:tr>
      <w:tr w:rsidR="00D45584" w:rsidRPr="00025E2C" w:rsidTr="00C0304E">
        <w:trPr>
          <w:trHeight w:val="1191"/>
          <w:jc w:val="center"/>
        </w:trPr>
        <w:tc>
          <w:tcPr>
            <w:tcW w:w="1731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kern w:val="0"/>
                <w:szCs w:val="21"/>
              </w:rPr>
              <w:lastRenderedPageBreak/>
              <w:t>现代金融服务</w:t>
            </w:r>
          </w:p>
        </w:tc>
        <w:tc>
          <w:tcPr>
            <w:tcW w:w="7404" w:type="dxa"/>
            <w:tcMar>
              <w:left w:w="108" w:type="dxa"/>
              <w:right w:w="108" w:type="dxa"/>
            </w:tcMar>
            <w:vAlign w:val="center"/>
          </w:tcPr>
          <w:p w:rsidR="00D45584" w:rsidRPr="00025E2C" w:rsidRDefault="00D45584" w:rsidP="00C0304E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025E2C">
              <w:rPr>
                <w:rFonts w:ascii="汉仪书宋一简" w:eastAsia="汉仪书宋一简" w:hAnsi="仿宋" w:cs="仿宋_GB2312" w:hint="eastAsia"/>
                <w:szCs w:val="21"/>
              </w:rPr>
              <w:t>普惠金融、新型农村合作金融、直接融资渠道、财富管理、金融服务实体经济、基金管理服务、现代保险服务、知识产权保险、债券市场产品创新、金融监管、不良资产处置、金融风险应急处置</w:t>
            </w:r>
          </w:p>
        </w:tc>
      </w:tr>
    </w:tbl>
    <w:p w:rsidR="00431C81" w:rsidRDefault="00D45584"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 w:rsidR="0043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EC" w:rsidRDefault="00E71FEC" w:rsidP="00D45584">
      <w:r>
        <w:separator/>
      </w:r>
    </w:p>
  </w:endnote>
  <w:endnote w:type="continuationSeparator" w:id="0">
    <w:p w:rsidR="00E71FEC" w:rsidRDefault="00E71FEC" w:rsidP="00D4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EC" w:rsidRDefault="00E71FEC" w:rsidP="00D45584">
      <w:r>
        <w:separator/>
      </w:r>
    </w:p>
  </w:footnote>
  <w:footnote w:type="continuationSeparator" w:id="0">
    <w:p w:rsidR="00E71FEC" w:rsidRDefault="00E71FEC" w:rsidP="00D4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40"/>
    <w:rsid w:val="00431C81"/>
    <w:rsid w:val="00D45584"/>
    <w:rsid w:val="00E10F40"/>
    <w:rsid w:val="00E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0A605-3709-4918-A53F-727E7134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5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5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2020-06-09T05:48:00Z</dcterms:created>
  <dcterms:modified xsi:type="dcterms:W3CDTF">2020-06-09T05:48:00Z</dcterms:modified>
</cp:coreProperties>
</file>