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19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附件1</w:t>
      </w:r>
    </w:p>
    <w:p w14:paraId="09078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山东省“一企一技术”研发中心认定</w:t>
      </w:r>
    </w:p>
    <w:p w14:paraId="1BF6E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工作指南</w:t>
      </w:r>
    </w:p>
    <w:p w14:paraId="52E08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eastAsia="zh-CN"/>
        </w:rPr>
        <w:t>）</w:t>
      </w:r>
    </w:p>
    <w:p w14:paraId="0353A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7625C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第一章  总  则</w:t>
      </w:r>
    </w:p>
    <w:p w14:paraId="4BCA8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第一条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为深入贯彻落实省委、省政府《先进制造业强省行动计划（2022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2025年）》（鲁发〔2022〕15号）和《关于加快推进新型工业化的实施意见》（鲁发〔2024〕6号）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全力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实施创新驱动发展战略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完善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企业技术创新体系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支持企业加强研发机构建设、加大研发投入力度、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开展研发活动、建立健全研发人员队伍建设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进一步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规范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山东省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“一企一技术”研发中心（以下简称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省“一企一技术”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研发中心）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认定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管理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，制定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指南。</w:t>
      </w:r>
    </w:p>
    <w:p w14:paraId="4C972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</w:rPr>
        <w:t>第二条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>指南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所称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是指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企业根据自身发展战略规划和技术创新需求设立的技术研发机构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旨在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着力突破掌握所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行业和领域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关键核心技术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核心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职责涵盖技术研发、技术成果转化、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知识产权创造与运用、技术标准体系建立与实施、质量技术改进与应用、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产学研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合作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、创新人才培养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不仅是企业技术创新和核心竞争力提升的重要载体，也是推动社会生产力进步和新型工业化进程的关键力量。</w:t>
      </w:r>
    </w:p>
    <w:p w14:paraId="62D59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第三条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为充分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发挥企业在技术创新中的主体作用，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主要依托企业建立，同时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鼓励高校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科研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院所等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单位参与建设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产学研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合作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带动产业技术进步和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技术成果转化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应用。</w:t>
      </w:r>
    </w:p>
    <w:p w14:paraId="467C6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第四条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山东省工业和信息化厅负责省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的认定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和管理等工作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市工业和信息化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青岛市民营经济发展局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）负责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本辖区内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的申报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推荐、政策服务等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事项。</w:t>
      </w:r>
    </w:p>
    <w:p w14:paraId="2E7FF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6347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第二章  认定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条件和程序</w:t>
      </w:r>
    </w:p>
    <w:p w14:paraId="089E9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应具备以下基本条件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：</w:t>
      </w:r>
    </w:p>
    <w:p w14:paraId="1CEF8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申报单位应为在山东省行政区域内依法设立，具有独立法人资格的工业和信息化领域企业。参与单位应与企业具有密切的产学研合作基础。</w:t>
      </w:r>
    </w:p>
    <w:p w14:paraId="7AA91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）组织体系健全，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严格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规范，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发展规划明确，重视前沿技术开发，具有开展高水平技术创新活动的能力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创新效率和效益显著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。具有市级“一企一技术”研发中心资格。</w:t>
      </w:r>
    </w:p>
    <w:p w14:paraId="7F0D6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高度重视技术研发。上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年度研发费用总额占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企业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营业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收入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总额的比例符合如下要求：</w:t>
      </w:r>
    </w:p>
    <w:p w14:paraId="06C32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营业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收入小于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000万元（含）的企业，研发投入比例不低于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1CC27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营业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收入在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000万元至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亿元（含）的企业，研发投入比例不低于4%。</w:t>
      </w:r>
    </w:p>
    <w:p w14:paraId="20FA4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营业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收入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超过1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亿元的企业，研发投入比例不低于3%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，或研发经费支出不少于1亿元。</w:t>
      </w:r>
    </w:p>
    <w:p w14:paraId="0BC55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（四）具有比较完善的研究、开发、试验条件，有固定的研发场所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面积不低于200平米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拥有技术开发仪器设备和开发工具软件（含数据集）的原值不低于300万元。</w:t>
      </w:r>
    </w:p>
    <w:p w14:paraId="78251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（五）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重视研发人员队伍建设。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拥有技术水平高、实践经验丰富的技术带头人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专职研发人员不少于20人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06006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>（六）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近3年牵头组织实施省级及以上科研项目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不少于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或与高校、科研院所开展产学研合作项目不少于2项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。</w:t>
      </w:r>
    </w:p>
    <w:p w14:paraId="3EC3E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通过自主研发、受让、受赠、并购等方式，获得对其主要产品（服务）在技术上发挥核心支持作用的知识产权的所有权，企业持有的授权发明专利、集成电路布图设计专有权和国家新药等一类知识产权不少于10项，且近3年新增一类知识产权不少于5项。软件和信息技术服务企业持有软件著作权不少于30项，近3年新取得软件著作权不少于15项。</w:t>
      </w:r>
    </w:p>
    <w:p w14:paraId="28EFE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重视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质量管理提升和品牌建设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，通过数字化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、人工智能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等手段有效提升企业质量管理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水平和品牌影响力，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有相关的质量保证体系、质量检验措施。</w:t>
      </w:r>
    </w:p>
    <w:p w14:paraId="2E4FE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近3年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未发生重大安全、重大质量事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或被有关部门认定存在严重失信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等违法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行为。</w:t>
      </w:r>
    </w:p>
    <w:p w14:paraId="0833C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（十）积极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参与国际、国家、行业、地方、团体标准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制定与修订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p w14:paraId="18C6F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认定程序如下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7D021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省工业和信息化厅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原则上每年组织一次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研发中心认定工作，具体事项依据当年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印发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的通知要求办理。</w:t>
      </w:r>
    </w:p>
    <w:p w14:paraId="46EA5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（二）各市工业和信息化局（青岛市民营经济发展局）对企业提交的申请材料进行审核后，推荐报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省工业和信息化厅。</w:t>
      </w:r>
    </w:p>
    <w:p w14:paraId="3C05B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）省工业和信息化厅组织专家进行评审，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按程序研究并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经公示后公布认定名单。</w:t>
      </w:r>
    </w:p>
    <w:p w14:paraId="1B9F0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4CA8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第三章  运行评价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监督管理</w:t>
      </w:r>
    </w:p>
    <w:p w14:paraId="4A35E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按照“有进有出、动态调整”的原则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省工业和信息化厅对认定满三年的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运行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评价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具体事项依据当年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印发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的通知要求办理。</w:t>
      </w:r>
    </w:p>
    <w:p w14:paraId="0C9A3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评价结果分为合格和不合格。</w:t>
      </w:r>
    </w:p>
    <w:p w14:paraId="3FAF6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各市工业和信息化局（青岛市民营经济发展局）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应及时将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所在企业发生更名、重组等变更情况及相关证明材料报省工业和信息化厅，省工业和信息化厅对相关情况进行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审核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确认并定期发文公布。</w:t>
      </w:r>
    </w:p>
    <w:p w14:paraId="55C7F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企业对其报送材料和数据真实性负责，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各市工业和信息化局（青岛市民营经济发展局）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按照标准条件对企业申报材料进行符合性审查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69B2F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有下列情况之一的，撤销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资格：</w:t>
      </w:r>
    </w:p>
    <w:p w14:paraId="47019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（一）运行评价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结果为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不合格；</w:t>
      </w:r>
    </w:p>
    <w:p w14:paraId="54436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（二）未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按要求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报送评价材料；</w:t>
      </w:r>
    </w:p>
    <w:p w14:paraId="2E790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（三）提供虚假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；</w:t>
      </w:r>
    </w:p>
    <w:p w14:paraId="0730D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（四）主要由于技术原因发生重大质量、安全事故；</w:t>
      </w:r>
    </w:p>
    <w:p w14:paraId="79B1A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（五）因违反国家有关法律法规受到刑事或行政处罚；</w:t>
      </w:r>
    </w:p>
    <w:p w14:paraId="0B072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（六）司法、行政机关认定的其他严重违法失信行为；</w:t>
      </w:r>
    </w:p>
    <w:p w14:paraId="49683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（七）企业被依法终止。</w:t>
      </w:r>
    </w:p>
    <w:p w14:paraId="232CD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eastAsia="zh-CN"/>
        </w:rPr>
        <w:t>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因本指南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第（一）～（六）项所列原因被撤销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资格的，自撤销之日起，三年内不得再次申报。</w:t>
      </w:r>
    </w:p>
    <w:p w14:paraId="0DF2C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B86B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第四章  鼓励政策</w:t>
      </w:r>
    </w:p>
    <w:p w14:paraId="6577F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中心在研发活动过程中产生的相关费用，如研发费用加计扣除、高新技术企业税收优惠等，按照国家规定执行。</w:t>
      </w:r>
    </w:p>
    <w:p w14:paraId="38084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鼓励金融机构对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研发中心提供贷款、融资担保等金融服务。</w:t>
      </w:r>
    </w:p>
    <w:p w14:paraId="1E27E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鼓励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国家、省级相关研发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项目，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对符合条件的项目给予优先支持。</w:t>
      </w:r>
    </w:p>
    <w:p w14:paraId="725B6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鼓励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各市工业和信息化局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（青岛市民营经济发展局）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予以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政策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支持。</w:t>
      </w:r>
    </w:p>
    <w:p w14:paraId="56B28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22B80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章  附  则</w:t>
      </w:r>
    </w:p>
    <w:p w14:paraId="0ED0A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十七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各市工业和信息化局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（青岛市民营经济发展局）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可结合实际，参考本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指南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，在职责范围内依法制定本地区相应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文件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，开展省级以下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认定和管理工作。</w:t>
      </w:r>
    </w:p>
    <w:p w14:paraId="39948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十八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本指南涉及的认定和评价指标体系等内容和要求，由省工业和信息化厅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另行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制定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并适时调整。</w:t>
      </w:r>
    </w:p>
    <w:p w14:paraId="3AC9C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十九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本指南自2025年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日起施行，有效期至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XXXX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日。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《山东省工业企业“一企一技术”研发中心培育认定工作指南》（鲁工信技〔2020〕37号）同时废止。</w:t>
      </w:r>
    </w:p>
    <w:p w14:paraId="6BF64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第二十条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本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指南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由省工业和信息化厅负责解释。</w:t>
      </w:r>
    </w:p>
    <w:p w14:paraId="3EA44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</w:p>
    <w:sectPr>
      <w:footerReference r:id="rId3" w:type="default"/>
      <w:pgSz w:w="11906" w:h="16838"/>
      <w:pgMar w:top="1871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AE4AC">
    <w:pPr>
      <w:pStyle w:val="3"/>
      <w:jc w:val="center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C2C047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C2C047"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FAC0980">
    <w:pPr>
      <w:pStyle w:val="3"/>
      <w:rPr>
        <w:rFonts w:hint="default"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aeb73867-8a83-4ecb-8cae-2127f798dea0"/>
  </w:docVars>
  <w:rsids>
    <w:rsidRoot w:val="0AFB067C"/>
    <w:rsid w:val="010F62A6"/>
    <w:rsid w:val="018D3575"/>
    <w:rsid w:val="02506D70"/>
    <w:rsid w:val="03471501"/>
    <w:rsid w:val="069458A2"/>
    <w:rsid w:val="06CB7E7A"/>
    <w:rsid w:val="072B39B9"/>
    <w:rsid w:val="077D0F66"/>
    <w:rsid w:val="089646FE"/>
    <w:rsid w:val="09CC7CC2"/>
    <w:rsid w:val="0AC42005"/>
    <w:rsid w:val="0AFB067C"/>
    <w:rsid w:val="0F8A4DBF"/>
    <w:rsid w:val="11703DAD"/>
    <w:rsid w:val="123D7792"/>
    <w:rsid w:val="127076CF"/>
    <w:rsid w:val="1CF114BF"/>
    <w:rsid w:val="1D091598"/>
    <w:rsid w:val="1FAA2EC7"/>
    <w:rsid w:val="215F285D"/>
    <w:rsid w:val="22D87AD8"/>
    <w:rsid w:val="238F5A5A"/>
    <w:rsid w:val="240F3CE2"/>
    <w:rsid w:val="246745E8"/>
    <w:rsid w:val="24E205BB"/>
    <w:rsid w:val="2B3F24F9"/>
    <w:rsid w:val="2D2B0C7B"/>
    <w:rsid w:val="3011149C"/>
    <w:rsid w:val="314A5C5C"/>
    <w:rsid w:val="32E14379"/>
    <w:rsid w:val="33932184"/>
    <w:rsid w:val="33E463D1"/>
    <w:rsid w:val="365F3FF9"/>
    <w:rsid w:val="368F620B"/>
    <w:rsid w:val="393B6701"/>
    <w:rsid w:val="399E09B4"/>
    <w:rsid w:val="3A5626B9"/>
    <w:rsid w:val="3C9A362D"/>
    <w:rsid w:val="3CAC7473"/>
    <w:rsid w:val="3D6642AD"/>
    <w:rsid w:val="3E4A4885"/>
    <w:rsid w:val="3E5E7FD2"/>
    <w:rsid w:val="3EB00101"/>
    <w:rsid w:val="3ED454B4"/>
    <w:rsid w:val="3F7209C1"/>
    <w:rsid w:val="3FEF7823"/>
    <w:rsid w:val="430A571D"/>
    <w:rsid w:val="462F3731"/>
    <w:rsid w:val="4B7D50A0"/>
    <w:rsid w:val="4C996E6C"/>
    <w:rsid w:val="4D1079EC"/>
    <w:rsid w:val="503F1991"/>
    <w:rsid w:val="50613EBD"/>
    <w:rsid w:val="53A700DD"/>
    <w:rsid w:val="56112C1D"/>
    <w:rsid w:val="5A972A81"/>
    <w:rsid w:val="5C8D5EC5"/>
    <w:rsid w:val="5CD82E7B"/>
    <w:rsid w:val="5DF87B14"/>
    <w:rsid w:val="5ED222C4"/>
    <w:rsid w:val="5F793CDA"/>
    <w:rsid w:val="608F635F"/>
    <w:rsid w:val="61363955"/>
    <w:rsid w:val="6459322D"/>
    <w:rsid w:val="66187ACD"/>
    <w:rsid w:val="676305CD"/>
    <w:rsid w:val="68023567"/>
    <w:rsid w:val="6EAC36D2"/>
    <w:rsid w:val="6FF54E4B"/>
    <w:rsid w:val="7003569E"/>
    <w:rsid w:val="712709CF"/>
    <w:rsid w:val="73554129"/>
    <w:rsid w:val="75CE79A5"/>
    <w:rsid w:val="77302AE1"/>
    <w:rsid w:val="788F7639"/>
    <w:rsid w:val="7C654E50"/>
    <w:rsid w:val="7DE44009"/>
    <w:rsid w:val="7EE15247"/>
    <w:rsid w:val="BDD7F833"/>
    <w:rsid w:val="DFB6AD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2379</Words>
  <Characters>2423</Characters>
  <Lines>0</Lines>
  <Paragraphs>0</Paragraphs>
  <TotalTime>2</TotalTime>
  <ScaleCrop>false</ScaleCrop>
  <LinksUpToDate>false</LinksUpToDate>
  <CharactersWithSpaces>2477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2020-02-13T10:22:00Z</dcterms:created>
  <dc:creator>魏欣</dc:creator>
  <cp:lastModifiedBy>123</cp:lastModifiedBy>
  <cp:lastPrinted>2020-03-31T10:10:00Z</cp:lastPrinted>
  <dcterms:modified xsi:type="dcterms:W3CDTF">2025-01-24T02:23:27Z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213BC0ADB3CA4ABB9BC9E032C436F64E</vt:lpwstr>
  </property>
</Properties>
</file>