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“链主”企业合作需求</w:t>
      </w:r>
    </w:p>
    <w:p>
      <w:pPr>
        <w:keepNext w:val="0"/>
        <w:keepLines w:val="0"/>
        <w:pageBreakBefore w:val="0"/>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48"/>
          <w:szCs w:val="4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default" w:ascii="仿宋_GB2312" w:hAnsi="仿宋_GB2312" w:eastAsia="仿宋_GB2312" w:cs="仿宋_GB2312"/>
          <w:color w:val="auto"/>
          <w:sz w:val="32"/>
          <w:szCs w:val="32"/>
          <w:lang w:val="en"/>
        </w:rPr>
        <w:t>威海</w:t>
      </w:r>
      <w:r>
        <w:rPr>
          <w:rFonts w:hint="eastAsia" w:ascii="仿宋_GB2312" w:hAnsi="仿宋_GB2312" w:eastAsia="仿宋_GB2312" w:cs="仿宋_GB2312"/>
          <w:color w:val="auto"/>
          <w:sz w:val="32"/>
          <w:szCs w:val="32"/>
        </w:rPr>
        <w:t>光威复合材料股份有限公司是专业从事高性能碳纤维及复合材料研发生产的高新技术企业。公司下辖威海拓展纤维有限公司及其内蒙古分公司、通用新材料板块、威海光威复合材料科技有限公司、威海光威能源新材料有限公司、威海光威精密机械有限公司、威海光晟航天航空科技有限公司、光威北京研发中心等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公司</w:t>
      </w:r>
      <w:r>
        <w:rPr>
          <w:rFonts w:hint="eastAsia" w:ascii="仿宋_GB2312" w:hAnsi="仿宋_GB2312" w:eastAsia="仿宋_GB2312" w:cs="仿宋_GB2312"/>
          <w:color w:val="auto"/>
          <w:sz w:val="32"/>
          <w:szCs w:val="32"/>
        </w:rPr>
        <w:t>以高端装备设计制造技术为支撑，形成了原丝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碳纤维、织物、树脂、高性能预浸材料、复合材料制品的完整产业链布局</w:t>
      </w:r>
      <w:r>
        <w:rPr>
          <w:rFonts w:hint="eastAsia" w:ascii="仿宋_GB2312" w:hAnsi="仿宋_GB2312" w:eastAsia="仿宋_GB2312" w:cs="仿宋_GB2312"/>
          <w:color w:val="auto"/>
          <w:sz w:val="32"/>
          <w:szCs w:val="32"/>
          <w:lang w:eastAsia="zh-CN"/>
        </w:rPr>
        <w:t>，产品主要包括GQ3522（T300级）、GQ4522（T700级） QZ5526（T800级）、QZ6026（T1000级）、QZ6526（T1100级）、QM4035（M40J级）、 QM4050（M55J级）、QM3560（M65J级）和QM5535（M40X级）等各型碳纤维及复合材料，广泛应用于航空航天、武器装备、风电叶片、光伏热场、高压储氢、体育休闲、建筑补强等领域。</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二、合作需求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碳纤维制品新应用场景的开拓离不开“三新”：新技术、新工艺、新材料。如碳纤维增强热塑树脂产品未来有很大的市场空间，需要从碳纤维、热塑性预浸料制备、产品生产工艺创新等多角度联合开发，由于牵涉范围较广、投入财力和时间成本较高，很难靠市场自行完成，寻求产业链上下游合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2.多类型设备无法进口，例如分切窄带的分切机、多类型预浸机等，寻求配套设备服务。</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3.多种树脂材料无法进口且国内无替代材料，寻求替代材料突破。</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4.材料应用需求多样化，预浸料行业标准化差，寻求行业标准制定参与企业。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5.低空经济等新型复材应用行业内卷严重，低质、低价无序竞争愈演愈烈，寻求下游合作应用开发企业。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6.测试标准化和多新型材料测试方法需要行业进一步研究和推广验证，寻求测试平台合作。</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碳纤维应用除了传统的预浸工艺，还包括了编织等典型工艺，上述工艺对碳纤维加工工艺性提出了很高的要求。目前，复合材料应用过程中反馈出国产碳纤维的毛丝量、顺直度、耐磨性、展纱效果等存在不同程度的问题，寻求合作开发新工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8.国产油剂存在集束性差、成膜性不佳、灰分含量偏高等问题，寻求合作技术开发或合格产品供应。</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9.国产碳纤维上浆剂存在着与树脂的匹配性差、分散性差、工艺适用性差、应用领域窄等问题，寻求产品替代更新。</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10.碳纤维的性能很大程度上取决于原丝，原丝结构会遗传到碳纤维，因此对原丝结构的表征至关重要，但因原丝本身为乳白色，目前表征手段有限，缺乏可定量表征原丝径向微观结构的方法，寻求先进表征手段。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11.碳纤维在水中分散不均匀，容易产生絮聚现象，影响碳纸的匀度，从而影响碳纸在氢燃料电池等下游的应用适应性，寻求新工艺。</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OLE_LINK3"/>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活动日程（9月21日）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p>
    <w:tbl>
      <w:tblPr>
        <w:tblStyle w:val="3"/>
        <w:tblW w:w="87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22"/>
        <w:gridCol w:w="7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时间</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28"/>
                <w:szCs w:val="28"/>
                <w:u w:val="none"/>
              </w:rPr>
            </w:pPr>
            <w:r>
              <w:rPr>
                <w:rFonts w:hint="eastAsia" w:ascii="仿宋_GB2312" w:hAnsi="仿宋_GB2312" w:eastAsia="仿宋_GB2312" w:cs="仿宋_GB2312"/>
                <w:b/>
                <w:i w:val="0"/>
                <w:color w:val="000000"/>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8:30-9:00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参会嘉宾签到，领取会议资料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9:00-9:10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领导致辞（省工业和信息化厅、威海工信局）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9:10-9:40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碳纤维在民用领域的应用创新与趋势分析（朱波）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9:40-10:00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“链主”企业需求发布与介绍（光威复材）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10:00-10:20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干法碳纤维制备技术突破与产业化应用（开泰石化）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10:20-10:40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碳纤维复合材料制备技术与创新应用（江山纤维）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10:40-11:00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碳纤维在体育器材领域的应用与市场拓展（泰山瑞豹）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11:00-11:10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山东省碳纤维领域人才职称评定政策介绍与解读（临港区科技创新局）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11:10-11:20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针对碳纤维产业的金融产品与服务创新推介（中信银行威海分行）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11:20-11:30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科技赋能，守护创新—助力碳纤维产业技术升级与风险治理（人保山东公司）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11:30-11:40</w:t>
            </w:r>
          </w:p>
        </w:tc>
        <w:tc>
          <w:tcPr>
            <w:tcW w:w="7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洞见资本，赋能产业-碳纤维企业上市全周期服务方案推介（西南证券）</w:t>
            </w:r>
          </w:p>
        </w:tc>
      </w:tr>
    </w:tbl>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1" w:name="_GoBack"/>
      <w:bookmarkEnd w:id="1"/>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参会企业合作需求（模板）</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一、企业基本情况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1.企业简要情况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2.重点新材料产品和技术突破情况</w:t>
      </w:r>
    </w:p>
    <w:p>
      <w:pPr>
        <w:pStyle w:val="2"/>
        <w:ind w:firstLine="640" w:firstLineChars="200"/>
        <w:rPr>
          <w:rFonts w:hint="default"/>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条目式列出在碳纤维相关技术、市场、项目、金融、政策、服务等领域的合作需求</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三、山东省碳纤维及复合材料产业链上下游合作思路与打算，意见建议</w:t>
      </w:r>
    </w:p>
    <w:p>
      <w:pPr>
        <w:numPr>
          <w:ilvl w:val="0"/>
          <w:numId w:val="0"/>
        </w:numPr>
        <w:ind w:firstLine="640" w:firstLineChars="200"/>
        <w:jc w:val="both"/>
        <w:rPr>
          <w:rFonts w:hint="default"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参会回执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917"/>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姓名</w:t>
            </w:r>
          </w:p>
        </w:tc>
        <w:tc>
          <w:tcPr>
            <w:tcW w:w="1420" w:type="dxa"/>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单位</w:t>
            </w:r>
          </w:p>
        </w:tc>
        <w:tc>
          <w:tcPr>
            <w:tcW w:w="1420" w:type="dxa"/>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职务</w:t>
            </w:r>
          </w:p>
        </w:tc>
        <w:tc>
          <w:tcPr>
            <w:tcW w:w="1917" w:type="dxa"/>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联系方式</w:t>
            </w:r>
          </w:p>
        </w:tc>
        <w:tc>
          <w:tcPr>
            <w:tcW w:w="2072" w:type="dxa"/>
            <w:vAlign w:val="center"/>
          </w:tcPr>
          <w:p>
            <w:pPr>
              <w:numPr>
                <w:ilvl w:val="0"/>
                <w:numId w:val="0"/>
              </w:num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是否住宿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917"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2072"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917"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2072"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917"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2072"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420"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1917"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c>
          <w:tcPr>
            <w:tcW w:w="2072" w:type="dxa"/>
            <w:vAlign w:val="center"/>
          </w:tcPr>
          <w:p>
            <w:pPr>
              <w:numPr>
                <w:ilvl w:val="0"/>
                <w:numId w:val="0"/>
              </w:numPr>
              <w:jc w:val="center"/>
              <w:rPr>
                <w:rFonts w:hint="eastAsia" w:ascii="仿宋_GB2312" w:hAnsi="仿宋_GB2312" w:eastAsia="仿宋_GB2312" w:cs="仿宋_GB2312"/>
                <w:sz w:val="32"/>
                <w:szCs w:val="32"/>
                <w:vertAlign w:val="baseline"/>
                <w:lang w:val="en-US" w:eastAsia="zh-CN"/>
              </w:rPr>
            </w:pPr>
          </w:p>
        </w:tc>
      </w:tr>
    </w:tbl>
    <w:p>
      <w:pPr>
        <w:numPr>
          <w:ilvl w:val="0"/>
          <w:numId w:val="0"/>
        </w:numPr>
        <w:jc w:val="both"/>
        <w:rPr>
          <w:rFonts w:hint="default" w:ascii="黑体" w:hAnsi="黑体" w:eastAsia="黑体" w:cs="黑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79BB8"/>
    <w:multiLevelType w:val="singleLevel"/>
    <w:tmpl w:val="57E79B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55940"/>
    <w:rsid w:val="13455940"/>
    <w:rsid w:val="1B15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2025-09-16T02:42:00Z</dcterms:created>
  <dc:creator>阳光</dc:creator>
  <cp:lastModifiedBy>阳光</cp:lastModifiedBy>
  <dcterms:modified xsi:type="dcterms:W3CDTF">2025-09-16T03:01:29Z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