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spacing w:line="240" w:lineRule="auto"/>
        <w:jc w:val="center"/>
        <w:rPr>
          <w:rFonts w:hint="eastAsia" w:asciiTheme="majorEastAsia" w:hAnsiTheme="majorEastAsia" w:eastAsiaTheme="majorEastAsia" w:cstheme="majorEastAsia"/>
          <w:sz w:val="44"/>
          <w:szCs w:val="44"/>
          <w:highlight w:val="none"/>
        </w:rPr>
      </w:pPr>
      <w:bookmarkStart w:id="0" w:name="_Toc25566271"/>
    </w:p>
    <w:p>
      <w:pPr>
        <w:rPr>
          <w:rFonts w:hint="eastAsia"/>
        </w:rPr>
      </w:pPr>
    </w:p>
    <w:p>
      <w:pPr>
        <w:pStyle w:val="2"/>
        <w:numPr>
          <w:ilvl w:val="0"/>
          <w:numId w:val="0"/>
        </w:numPr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山东省工业和信息化厅专家库管理办法</w:t>
      </w:r>
      <w:bookmarkEnd w:id="0"/>
      <w:bookmarkStart w:id="2" w:name="_GoBack"/>
      <w:bookmarkEnd w:id="2"/>
    </w:p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征求意见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）</w:t>
      </w:r>
    </w:p>
    <w:p>
      <w:pPr>
        <w:rPr>
          <w:highlight w:val="none"/>
        </w:rPr>
      </w:pPr>
    </w:p>
    <w:p>
      <w:pPr>
        <w:numPr>
          <w:ilvl w:val="0"/>
          <w:numId w:val="2"/>
        </w:numPr>
        <w:ind w:firstLine="0" w:firstLineChars="0"/>
        <w:jc w:val="center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总则</w:t>
      </w:r>
    </w:p>
    <w:p>
      <w:pPr>
        <w:ind w:firstLine="600"/>
        <w:rPr>
          <w:highlight w:val="none"/>
        </w:rPr>
      </w:pPr>
    </w:p>
    <w:p>
      <w:pPr>
        <w:ind w:firstLine="640"/>
        <w:rPr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第一条</w:t>
      </w: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进一步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加强专家库监督管理，健全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完善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专家库制度，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规范提升专家履职评审行为，提高行业专家的专业支撑作用，有效保障厅机关科学决策水平，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结合工作实际，制定本办法。</w:t>
      </w:r>
    </w:p>
    <w:p>
      <w:pPr>
        <w:ind w:firstLine="64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 xml:space="preserve">第二条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本办法所称专家库旨在汇集高层次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专家资源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，服务我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厅工信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领域各类评审、论证、咨询、评估、评价和认定（以下统称“评审”）等活动。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本办法所称专家是具备参与相关专业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活动所需的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知识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储备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、职业资格和实践经验，经省工业和信息化厅审核,纳入专家库管理,根据工作需要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和规定程序，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参与公共决策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及其他评审活动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，进行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论证并提出咨询意见的专业人员。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省工业和信息化厅成立专家库管理领导小组，由厅主要领导任组长，各分管领导为成员。领导小组负责专家入库审核、专家库管理办法修订等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。领导小组下设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专家库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办公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，办公室设在政策法规处，负责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专家库建设开发、升级改造，牵头征集、补充、调整专家库入库专家，以及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专家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日常使用审批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工作。</w:t>
      </w:r>
    </w:p>
    <w:p>
      <w:pPr>
        <w:ind w:firstLine="600"/>
        <w:rPr>
          <w:highlight w:val="none"/>
        </w:rPr>
      </w:pPr>
    </w:p>
    <w:p>
      <w:pPr>
        <w:numPr>
          <w:ilvl w:val="0"/>
          <w:numId w:val="2"/>
        </w:numPr>
        <w:ind w:firstLine="0"/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评审范围</w:t>
      </w:r>
    </w:p>
    <w:p>
      <w:pPr>
        <w:numPr>
          <w:ilvl w:val="-1"/>
          <w:numId w:val="0"/>
        </w:numPr>
        <w:spacing w:before="192" w:line="357" w:lineRule="auto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第五条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highlight w:val="none"/>
          <w:lang w:eastAsia="zh-CN"/>
        </w:rPr>
        <w:t>专家参与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highlight w:val="none"/>
          <w:lang w:val="en-US" w:eastAsia="zh-CN"/>
        </w:rPr>
        <w:t>的事项包括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highlight w:val="none"/>
          <w:lang w:eastAsia="zh-CN"/>
        </w:rPr>
        <w:t>公共决策事项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highlight w:val="none"/>
          <w:lang w:val="en-US" w:eastAsia="zh-CN"/>
        </w:rPr>
        <w:t>和其他评审事项。</w:t>
      </w:r>
    </w:p>
    <w:p>
      <w:pPr>
        <w:numPr>
          <w:ilvl w:val="-1"/>
          <w:numId w:val="0"/>
        </w:numPr>
        <w:spacing w:before="192" w:line="357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highlight w:val="none"/>
          <w:lang w:val="en-US" w:eastAsia="zh-CN"/>
        </w:rPr>
        <w:t>公共决策事项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指在工业和信息化领域开展的以下工作：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制定国民经济和社会发展等方面的重要规划、重大公共政策和措施；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需专家参与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决定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行政许可，重大公共建设项目等投资审批、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招标采购、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重大课题安排等公共资源分配事项，重要荣誉或称号授予等；对经济社会发展有重大影响、涉及重大公共利益或者社会公众切身利益的</w:t>
      </w:r>
      <w:r>
        <w:rPr>
          <w:rFonts w:hint="default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其他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事项。</w:t>
      </w:r>
    </w:p>
    <w:p>
      <w:pPr>
        <w:numPr>
          <w:ilvl w:val="-1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其他评审事项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省工业和信息化厅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开展的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除公共决策事项之外的常规性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规划编制、政策研究、技术咨询、项目评审、项目验收、标准制订和各类达标评优等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评审工作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>
      <w:pPr>
        <w:numPr>
          <w:ilvl w:val="-1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评审范围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不包括一般性、例行性征求专家意见或专家座谈等。</w:t>
      </w:r>
    </w:p>
    <w:p>
      <w:pPr>
        <w:numPr>
          <w:ilvl w:val="-1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第七条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强化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各业务处室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评审事项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主体责任，对专家评审意见要严格把关，更好发挥专家辅助决策作用，防止凡事都要组织专家评审的倾向，坚决避免以专家评审代替行政机关决策，造成决策主体责任缺失。</w:t>
      </w:r>
    </w:p>
    <w:p>
      <w:pPr>
        <w:numPr>
          <w:ilvl w:val="-1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</w:p>
    <w:p>
      <w:pPr>
        <w:numPr>
          <w:ilvl w:val="0"/>
          <w:numId w:val="2"/>
        </w:numPr>
        <w:ind w:firstLine="0" w:firstLineChars="0"/>
        <w:jc w:val="center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入库条件</w:t>
      </w:r>
    </w:p>
    <w:p>
      <w:pPr>
        <w:ind w:firstLine="600"/>
        <w:rPr>
          <w:highlight w:val="none"/>
        </w:rPr>
      </w:pPr>
    </w:p>
    <w:p>
      <w:pPr>
        <w:ind w:firstLine="640"/>
        <w:rPr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专家入库基本条件：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政治立场坚定，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品德良好，身体健康，具有良好的职业道德，承担工作任务科学严谨、客观公正、廉洁自律；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（二）熟悉国家和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山东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省工业和信息化领域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政策措施、法律法规，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知悉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本领域国内外情况和前沿动态；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（三）从事相关行业研究或管理工作5年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含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以上，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具备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较高的理论水平，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/>
        </w:rPr>
        <w:t>取得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一定的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技术研究成果；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）年龄一般不超过65岁，两院院士或有特殊需求的专家不受此年龄限制；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无学术道德问题，无不良社会信用记录，</w:t>
      </w:r>
      <w:r>
        <w:rPr>
          <w:rFonts w:hint="eastAsia" w:cs="仿宋"/>
          <w:sz w:val="32"/>
          <w:szCs w:val="32"/>
          <w:highlight w:val="none"/>
          <w:lang w:val="en-US" w:eastAsia="zh-CN"/>
        </w:rPr>
        <w:t>和违纪违法等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记录</w:t>
      </w:r>
      <w:r>
        <w:rPr>
          <w:rFonts w:hint="eastAsia" w:cs="仿宋"/>
          <w:sz w:val="32"/>
          <w:szCs w:val="32"/>
          <w:highlight w:val="none"/>
          <w:lang w:eastAsia="zh-CN"/>
        </w:rPr>
        <w:t>；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选专家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原则上应取得人事关系所在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推荐和确认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>
      <w:pPr>
        <w:ind w:firstLine="640"/>
        <w:rPr>
          <w:rFonts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九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专家入库专业技术条件：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法律、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行业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技术、财务审计等领域专家除符合本办法第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条规定外，还应符合以下条件：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（一）法律领域专家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具有副高级（含）以上职称或国家二级律师（含）以上资格的人员，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熟悉工业和信息化产业政策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及相关法律法规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等，具有较高的政策理论水平和业务管理经验；</w:t>
      </w:r>
    </w:p>
    <w:p>
      <w:pPr>
        <w:spacing w:line="240" w:lineRule="auto"/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行业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技术领域专家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具有副高级（含）以上职称人员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cs="仿宋"/>
          <w:sz w:val="32"/>
          <w:szCs w:val="32"/>
          <w:highlight w:val="none"/>
          <w:lang w:val="en-US" w:eastAsia="zh-CN"/>
        </w:rPr>
        <w:t>包括：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省级以上认定的研发中心、企业技术中心、重点实验室等技术负责人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高等院校、科研院所、行业协会、行业领军企业的中高层管理人员、产业基金投资机构中高层管理人员等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；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（三）财务审计专家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熟悉经费管理制度，具有副高级（含）以上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专业技术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职称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或相当执业资格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高级会计师、高级审计师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注册会计师等人员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>
      <w:pPr>
        <w:ind w:firstLine="0" w:firstLineChars="0"/>
        <w:rPr>
          <w:highlight w:val="none"/>
        </w:rPr>
      </w:pPr>
    </w:p>
    <w:p>
      <w:pPr>
        <w:numPr>
          <w:ilvl w:val="0"/>
          <w:numId w:val="2"/>
        </w:numPr>
        <w:ind w:firstLine="0" w:firstLineChars="0"/>
        <w:jc w:val="center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专家管理</w:t>
      </w:r>
    </w:p>
    <w:p>
      <w:pPr>
        <w:ind w:firstLine="0" w:firstLineChars="0"/>
        <w:rPr>
          <w:highlight w:val="none"/>
        </w:rPr>
      </w:pPr>
    </w:p>
    <w:p>
      <w:pPr>
        <w:snapToGrid w:val="0"/>
        <w:spacing w:line="600" w:lineRule="exact"/>
        <w:ind w:firstLine="640"/>
        <w:rPr>
          <w:rFonts w:hint="eastAsia" w:ascii="黑体" w:hAnsi="黑体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十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条</w:t>
      </w:r>
      <w:bookmarkStart w:id="1" w:name="_Hlk62649741"/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</w:t>
      </w:r>
      <w:bookmarkEnd w:id="1"/>
      <w:r>
        <w:rPr>
          <w:rFonts w:cs="Times New Roman"/>
          <w:sz w:val="32"/>
          <w:szCs w:val="32"/>
          <w:highlight w:val="none"/>
        </w:rPr>
        <w:t>专家</w:t>
      </w:r>
      <w:r>
        <w:rPr>
          <w:rFonts w:hint="eastAsia" w:cs="Times New Roman"/>
          <w:sz w:val="32"/>
          <w:szCs w:val="32"/>
          <w:highlight w:val="none"/>
          <w:lang w:eastAsia="zh-CN"/>
        </w:rPr>
        <w:t>入库</w:t>
      </w:r>
      <w:r>
        <w:rPr>
          <w:rFonts w:hint="eastAsia" w:cs="Times New Roman"/>
          <w:sz w:val="32"/>
          <w:szCs w:val="32"/>
          <w:highlight w:val="none"/>
          <w:lang w:val="en-US" w:eastAsia="zh-CN"/>
        </w:rPr>
        <w:t>管理</w:t>
      </w:r>
      <w:r>
        <w:rPr>
          <w:rFonts w:hint="eastAsia" w:cs="Times New Roman"/>
          <w:sz w:val="32"/>
          <w:szCs w:val="32"/>
          <w:highlight w:val="none"/>
        </w:rPr>
        <w:t>：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征集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方式。</w:t>
      </w:r>
      <w:r>
        <w:rPr>
          <w:spacing w:val="29"/>
          <w:sz w:val="29"/>
          <w:szCs w:val="29"/>
          <w:highlight w:val="none"/>
        </w:rPr>
        <w:t>坚持竞争</w:t>
      </w:r>
      <w:r>
        <w:rPr>
          <w:spacing w:val="28"/>
          <w:sz w:val="29"/>
          <w:szCs w:val="29"/>
          <w:highlight w:val="none"/>
        </w:rPr>
        <w:t>择优的</w:t>
      </w:r>
      <w:r>
        <w:rPr>
          <w:spacing w:val="32"/>
          <w:sz w:val="29"/>
          <w:szCs w:val="29"/>
          <w:highlight w:val="none"/>
        </w:rPr>
        <w:t>原则，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专家入库采用公开遴选、定向邀请等方式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择优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选取专家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入库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公开遴选由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专家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办公室负责通过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省工业和信息化厅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门户网站向社会公开征集专家，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定向邀请由相关业务处室负责推荐本领域行业专家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；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入库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申请。专家登录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省工业和信息化厅专家管理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系统，如实填写《山东省工业和信息化厅专家资格审查表》，并附相关证明材料（身份证件、学历证书、技术职称等），经所在单位真实性审核后推荐提交；</w:t>
      </w:r>
    </w:p>
    <w:p>
      <w:pPr>
        <w:ind w:firstLine="64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（三）资格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审核及专家评审。对于定向邀请的，由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各业务处室对本行业专家资格进行审核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再由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专家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办公室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组织入库评审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对于公开遴选的直接由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专家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办公室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组织入库评审，经入库评审后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确定拟入库专家名单，报专家库领导小组审定；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名单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公示。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除涉密、法律法规和国家另有规定等情形外，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专家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办公室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将结合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实际需要，采取适当方式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公示拟入库专家名单，接受社会监督，公示期不少于5个工作日；</w:t>
      </w:r>
    </w:p>
    <w:p>
      <w:pPr>
        <w:ind w:firstLine="640"/>
        <w:rPr>
          <w:rFonts w:ascii="仿宋_GB2312" w:hAnsi="仿宋_GB2312" w:eastAsia="仿宋_GB2312" w:cs="仿宋_GB2312"/>
          <w:strike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正式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入库。对公示无异议的专家，专家库办公室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将入选专家信息录入专家库，正式成为省工业和信息化厅专家库成员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pStyle w:val="3"/>
        <w:snapToGrid w:val="0"/>
        <w:spacing w:line="600" w:lineRule="exact"/>
        <w:ind w:firstLine="640" w:firstLineChars="0"/>
        <w:rPr>
          <w:rFonts w:cs="Times New Roman"/>
          <w:color w:val="FF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十一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专家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出库管理。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/>
          <w:lang w:val="en-US" w:eastAsia="zh-CN"/>
        </w:rPr>
        <w:t>入库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/>
        </w:rPr>
        <w:t>专家有下列情况者，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/>
          <w:lang w:val="en-US" w:eastAsia="zh-CN"/>
        </w:rPr>
        <w:t>应当终止其专家资格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：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）不能客观公正履行职责，评价结果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连续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两次被评价为差的；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）履行专家职责期间，泄露获取的技术、商业秘密、未公开的政策信息以及其他不宜公开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内容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的；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）收受他人财物或者其他利益、影响客观公正履行职责的；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）与项目有关单位存在利益关系，未主动提出回避并造成不良影响的；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）利用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省工业和信息化厅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专家名义牟取不正当利益的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）连续三次未在规定时间回复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邀请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连续三次接受邀请后缺席的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因身体原因，不能胜任专家工作的；</w:t>
      </w:r>
    </w:p>
    <w:p>
      <w:pPr>
        <w:ind w:firstLine="640"/>
        <w:rPr>
          <w:rFonts w:hint="eastAsia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因工作变动，不再适宜担任专家的</w:t>
      </w:r>
      <w:r>
        <w:rPr>
          <w:rFonts w:hint="eastAsia"/>
          <w:highlight w:val="none"/>
        </w:rPr>
        <w:t>；</w:t>
      </w:r>
    </w:p>
    <w:p>
      <w:pPr>
        <w:ind w:firstLine="640"/>
        <w:rPr>
          <w:rFonts w:hint="eastAsia" w:eastAsia="仿宋"/>
          <w:highlight w:val="none"/>
          <w:lang w:eastAsia="zh-CN"/>
        </w:rPr>
      </w:pPr>
      <w:r>
        <w:rPr>
          <w:rFonts w:hint="eastAsia"/>
          <w:highlight w:val="none"/>
          <w:lang w:eastAsia="zh-CN"/>
        </w:rPr>
        <w:t>（</w:t>
      </w:r>
      <w:r>
        <w:rPr>
          <w:rFonts w:hint="eastAsia"/>
          <w:highlight w:val="none"/>
          <w:lang w:val="en-US" w:eastAsia="zh-CN"/>
        </w:rPr>
        <w:t>十</w:t>
      </w:r>
      <w:r>
        <w:rPr>
          <w:rFonts w:hint="eastAsia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两院院士或有特殊需求的专家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以外，年满65周岁的；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十一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玩忽职守或者其他不认真履行职责行为，导致恶劣影响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十二）采取弄虚作假等不正当手段骗取专家资格的；</w:t>
      </w:r>
    </w:p>
    <w:p>
      <w:pPr>
        <w:ind w:firstLine="64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十三）出现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学术道德问题，不良社会信用记录，</w:t>
      </w:r>
      <w:r>
        <w:rPr>
          <w:rFonts w:hint="eastAsia" w:cs="仿宋"/>
          <w:sz w:val="32"/>
          <w:szCs w:val="32"/>
          <w:highlight w:val="none"/>
          <w:lang w:val="en-US" w:eastAsia="zh-CN"/>
        </w:rPr>
        <w:t>违法违纪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记录等情形</w:t>
      </w:r>
      <w:r>
        <w:rPr>
          <w:rFonts w:hint="eastAsia" w:cs="仿宋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val="en-US" w:eastAsia="zh-CN"/>
        </w:rPr>
        <w:t>第十二条</w:t>
      </w:r>
      <w:r>
        <w:rPr>
          <w:rFonts w:hint="eastAsia" w:ascii="仿宋" w:hAnsi="仿宋" w:eastAsia="仿宋" w:cs="仿宋"/>
          <w:spacing w:val="3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cs="仿宋"/>
          <w:spacing w:val="0"/>
          <w:sz w:val="32"/>
          <w:szCs w:val="32"/>
          <w:highlight w:val="none"/>
          <w:lang w:val="en-US" w:eastAsia="zh-CN"/>
        </w:rPr>
        <w:t>专家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/>
          <w:lang w:val="en-US" w:eastAsia="zh-CN"/>
        </w:rPr>
        <w:t>信息更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新。</w:t>
      </w:r>
      <w:r>
        <w:rPr>
          <w:rFonts w:hint="eastAsia" w:cs="仿宋"/>
          <w:sz w:val="32"/>
          <w:szCs w:val="32"/>
          <w:highlight w:val="none"/>
          <w:lang w:val="en-US" w:eastAsia="zh-CN"/>
        </w:rPr>
        <w:t>对于更新手机号码、银行卡号等一般信息的，专家应实时登录系统更新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并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告知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专家库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办公室</w:t>
      </w:r>
      <w:r>
        <w:rPr>
          <w:rFonts w:hint="eastAsia" w:cs="仿宋"/>
          <w:sz w:val="32"/>
          <w:szCs w:val="32"/>
          <w:highlight w:val="none"/>
          <w:lang w:eastAsia="zh-CN"/>
        </w:rPr>
        <w:t>，</w:t>
      </w:r>
      <w:r>
        <w:rPr>
          <w:rFonts w:hint="eastAsia" w:cs="仿宋"/>
          <w:sz w:val="32"/>
          <w:szCs w:val="32"/>
          <w:highlight w:val="none"/>
          <w:lang w:val="en-US" w:eastAsia="zh-CN"/>
        </w:rPr>
        <w:t>由专家库办公室完成审核。对于更新专家职称、职称等级、行业分类等关键信息的，由专家库办公室定期组织集中更新及审核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val="en-US" w:eastAsia="zh-CN"/>
        </w:rPr>
        <w:t>第十三条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选用处室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加强对专家的培训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指导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，帮助专家及时掌握其所参与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评审活动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相关的法律制度、政策规定、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行业动态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内容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numPr>
          <w:ilvl w:val="0"/>
          <w:numId w:val="2"/>
        </w:numPr>
        <w:ind w:firstLine="0" w:firstLineChars="0"/>
        <w:jc w:val="center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 xml:space="preserve"> 权利义务</w:t>
      </w:r>
    </w:p>
    <w:p>
      <w:pPr>
        <w:ind w:firstLine="0" w:firstLineChars="0"/>
        <w:rPr>
          <w:highlight w:val="none"/>
        </w:rPr>
      </w:pPr>
    </w:p>
    <w:p>
      <w:pPr>
        <w:snapToGrid w:val="0"/>
        <w:spacing w:line="600" w:lineRule="exact"/>
        <w:ind w:firstLine="640"/>
        <w:rPr>
          <w:rFonts w:cs="Times New Roman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第十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履行工作期间，专家享有以下权利： 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（一）了解所承担工作任务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相关信息，认为提供的信息不充分时可以要求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/>
        </w:rPr>
        <w:t>补充相关资料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；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/>
        </w:rPr>
        <w:t>依法独立发表意见和建议，不受任何组织和个人干预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；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到评审现场后，发现存在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需要回避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的情形，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有权申请拒绝参与；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（四）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/>
        </w:rPr>
        <w:t>按照有关规定获得相应劳务报酬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/>
          <w:lang w:eastAsia="zh-CN"/>
        </w:rPr>
        <w:t>，</w:t>
      </w:r>
      <w:r>
        <w:rPr>
          <w:rFonts w:hint="eastAsia" w:ascii="仿宋_GB2312" w:hAnsi="仿宋_GB2312" w:eastAsia="仿宋_GB2312" w:cs="仿宋_GB2312"/>
          <w:strike w:val="0"/>
          <w:sz w:val="32"/>
          <w:szCs w:val="32"/>
          <w:highlight w:val="none"/>
        </w:rPr>
        <w:t>费用由</w:t>
      </w:r>
      <w:r>
        <w:rPr>
          <w:rFonts w:hint="eastAsia" w:ascii="仿宋_GB2312" w:hAnsi="仿宋_GB2312" w:eastAsia="仿宋_GB2312" w:cs="仿宋_GB2312"/>
          <w:strike w:val="0"/>
          <w:sz w:val="32"/>
          <w:szCs w:val="32"/>
          <w:highlight w:val="none"/>
          <w:lang w:eastAsia="zh-CN"/>
        </w:rPr>
        <w:t>省工业和信息化厅</w:t>
      </w:r>
      <w:r>
        <w:rPr>
          <w:rFonts w:hint="eastAsia" w:ascii="仿宋_GB2312" w:hAnsi="仿宋_GB2312" w:eastAsia="仿宋_GB2312" w:cs="仿宋_GB2312"/>
          <w:strike w:val="0"/>
          <w:sz w:val="32"/>
          <w:szCs w:val="32"/>
          <w:highlight w:val="none"/>
        </w:rPr>
        <w:t>在年度部门预算中按有关规定列支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；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）有权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退出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省工业和信息化厅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专家库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>
      <w:pPr>
        <w:ind w:firstLine="64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法律、行政法规规定的其他权利。</w:t>
      </w:r>
    </w:p>
    <w:p>
      <w:pPr>
        <w:snapToGrid w:val="0"/>
        <w:spacing w:line="600" w:lineRule="exact"/>
        <w:ind w:firstLine="640"/>
        <w:rPr>
          <w:rFonts w:cs="Times New Roman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第十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履行工作期间，专家承担以下义务：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（一）严格遵守国家相关法律法规、规章制度；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（二）认真履行职责，提前阅研工作相关材料，在规定期限内客观、公正、具体地提出意见，并对所签署的意见负责；</w:t>
      </w:r>
    </w:p>
    <w:p>
      <w:pPr>
        <w:ind w:firstLine="640"/>
        <w:rPr>
          <w:rFonts w:hint="eastAsia" w:ascii="仿宋_GB2312" w:hAnsi="仿宋_GB2312" w:eastAsia="仿宋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（三）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严格遵守保密制度，不得泄露参与公共决策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和其他评审所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知悉的国家秘密、工作秘密、商业秘密以及其他不应公开的信息，不得擅自对外发表有关意见和言论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；</w:t>
      </w:r>
    </w:p>
    <w:p>
      <w:pPr>
        <w:numPr>
          <w:ilvl w:val="-1"/>
          <w:numId w:val="0"/>
        </w:numPr>
        <w:ind w:firstLine="640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专家不得以</w:t>
      </w:r>
      <w:r>
        <w:rPr>
          <w:rFonts w:hint="eastAsia" w:ascii="仿宋_GB2312" w:hAnsi="仿宋_GB2312" w:eastAsia="仿宋_GB2312" w:cs="仿宋_GB2312"/>
          <w:strike w:val="0"/>
          <w:sz w:val="32"/>
          <w:szCs w:val="32"/>
          <w:highlight w:val="none"/>
          <w:lang w:val="en-US" w:eastAsia="zh-CN"/>
        </w:rPr>
        <w:t>省工业和信息化厅专家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的头衔对外宣传或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出席任何活动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不得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以</w:t>
      </w:r>
      <w:r>
        <w:rPr>
          <w:rFonts w:hint="eastAsia" w:ascii="仿宋_GB2312" w:hAnsi="仿宋_GB2312" w:eastAsia="仿宋_GB2312" w:cs="仿宋_GB2312"/>
          <w:strike w:val="0"/>
          <w:sz w:val="32"/>
          <w:szCs w:val="32"/>
          <w:highlight w:val="none"/>
          <w:lang w:val="en-US" w:eastAsia="zh-CN"/>
        </w:rPr>
        <w:t>省工业和信息化厅专家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的头衔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作为职称评审或获取其他称号或荣誉的依据，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不得利用参与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评审的便利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获取不正当利益，不得参与可能影响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评审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意见公正性的活动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；</w:t>
      </w:r>
    </w:p>
    <w:p>
      <w:pPr>
        <w:numPr>
          <w:ilvl w:val="-1"/>
          <w:numId w:val="0"/>
        </w:numPr>
        <w:ind w:firstLine="640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专家技术职称、工作单位等重要信息发生变更时，及时登录专家库按要求更新信息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如因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报备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不及时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且发生“第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二十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条”情形的，视为“第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十一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条第四款”情形；</w:t>
      </w:r>
    </w:p>
    <w:p>
      <w:pPr>
        <w:numPr>
          <w:ilvl w:val="-1"/>
          <w:numId w:val="0"/>
        </w:numPr>
        <w:ind w:firstLine="640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严格廉洁要求，不得接受利益相关方及其请托人的送礼和宴请等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；</w:t>
      </w:r>
    </w:p>
    <w:p>
      <w:pPr>
        <w:numPr>
          <w:ilvl w:val="-1"/>
          <w:numId w:val="0"/>
        </w:numPr>
        <w:ind w:firstLine="640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本人专业能力不能胜任时，主动提出退出评审等活动；</w:t>
      </w:r>
    </w:p>
    <w:p>
      <w:pPr>
        <w:numPr>
          <w:ilvl w:val="-1"/>
          <w:numId w:val="0"/>
        </w:numPr>
        <w:ind w:firstLine="640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遵守评审活动要求的其他工作纪律。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>
      <w:pPr>
        <w:numPr>
          <w:ilvl w:val="0"/>
          <w:numId w:val="2"/>
        </w:numPr>
        <w:ind w:firstLine="0" w:firstLineChars="0"/>
        <w:jc w:val="center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使用管理</w:t>
      </w:r>
    </w:p>
    <w:p>
      <w:pPr>
        <w:ind w:firstLine="0" w:firstLineChars="0"/>
        <w:rPr>
          <w:highlight w:val="none"/>
        </w:rPr>
      </w:pPr>
    </w:p>
    <w:p>
      <w:pPr>
        <w:snapToGrid w:val="0"/>
        <w:spacing w:line="600" w:lineRule="exact"/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第十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专家需求处室（以下简称“选用处室”）根据工作需要，线上填写专家使用申请表，提出所需专家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数量、工作时间、工作地点、行业分类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、需要回避的单位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等信息，经处室主要负责人同意后，提交专家库办公室审核。专家库办公室在2个工作日内审核并给予通过或补充信息的答复，审核通过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选用处室即可操作抽取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。 </w:t>
      </w:r>
    </w:p>
    <w:p>
      <w:pPr>
        <w:snapToGrid w:val="0"/>
        <w:spacing w:line="600" w:lineRule="exact"/>
        <w:ind w:firstLine="640"/>
        <w:rPr>
          <w:rFonts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第十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选用处室在线随机抽取所需专家，专家库办公室和机关纪委对抽取过程进行线上监督，系统自动联系抽取到的专家并确认是否参加活动。如在规定时间内，专家反馈不能参加相关工作或没有反馈信息，系统将自动补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抽取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，直到全部符合要求为止。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第十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如采取随机抽取方式确定的专家难以胜任工作所需，符合以下条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之一的，经报请选用处室分管厅领导同意后，由选用处室直接指定专家，并报厅机关纪委备案：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（一）因技术特别复杂、专业性要求特别高，专家库中没有满足条件的专家或者满足条件的专家数额不足的；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（二）国家或省有特殊要求的。</w:t>
      </w:r>
    </w:p>
    <w:p>
      <w:pPr>
        <w:snapToGrid w:val="0"/>
        <w:spacing w:line="600" w:lineRule="exact"/>
        <w:ind w:firstLine="640"/>
        <w:rPr>
          <w:rFonts w:cs="Times New Roman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十九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专家选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轮换原则。同一专家被连续选中两次后，在下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轮抽取活动中自动轮空。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u w:val="none"/>
          <w:shd w:val="clear"/>
        </w:rPr>
        <w:t>原则上每位专家每年参加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u w:val="none"/>
          <w:shd w:val="clear"/>
          <w:lang w:val="en-US" w:eastAsia="zh-CN"/>
        </w:rPr>
        <w:t>本厅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u w:val="none"/>
          <w:shd w:val="clear"/>
        </w:rPr>
        <w:t>评审活动不超过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u w:val="none"/>
          <w:shd w:val="clear"/>
          <w:lang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u w:val="none"/>
          <w:shd w:val="clear"/>
        </w:rPr>
        <w:t>次。</w:t>
      </w:r>
    </w:p>
    <w:p>
      <w:pPr>
        <w:snapToGrid w:val="0"/>
        <w:spacing w:line="600" w:lineRule="exact"/>
        <w:ind w:firstLine="640"/>
        <w:rPr>
          <w:rFonts w:hint="eastAsia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二十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专家选取遵循回避原则。涉及下列回避事项，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专家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在参与相关活动前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主动提出回避请求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（一）被评审项目的负责人或参与人员；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</w:t>
      </w:r>
      <w:r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highlight w:val="none"/>
        </w:rPr>
        <w:t>）与被评审项目负责人有近亲属关系等重大利益关系</w:t>
      </w:r>
      <w:r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highlight w:val="none"/>
          <w:lang w:eastAsia="zh-CN"/>
        </w:rPr>
        <w:t>；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（三）与被评审项目单位有重大经济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利益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关系；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）与被评审项目负责人隶属于同一法人单位，或所在单位与被评审项目申报单位有隶属关系；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（五）其他可能妨碍评审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公平、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公正的情形。</w:t>
      </w:r>
    </w:p>
    <w:p>
      <w:pPr>
        <w:tabs>
          <w:tab w:val="left" w:pos="5400"/>
          <w:tab w:val="left" w:pos="5700"/>
        </w:tabs>
        <w:snapToGrid w:val="0"/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  <w:t>二十一</w:t>
      </w: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专家确定后，选用处室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自行下载《专家费发放表》，现场专家签字确认。同时，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对最终确定的专家名单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及信息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逐级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签字确认，作为支取专家费用的凭证，财务处按照有关规定支付专家费用。</w:t>
      </w:r>
    </w:p>
    <w:p>
      <w:pPr>
        <w:snapToGrid w:val="0"/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  <w:t>第二十二条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</w:rPr>
        <w:t>评审活动结束后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lang w:val="en-US" w:eastAsia="zh-CN"/>
        </w:rPr>
        <w:t>选用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处室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需及时上传专家评审意见，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确保专家参与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评审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过程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结果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可追溯。</w:t>
      </w:r>
    </w:p>
    <w:p>
      <w:pPr>
        <w:ind w:firstLine="600"/>
        <w:rPr>
          <w:highlight w:val="none"/>
        </w:rPr>
      </w:pPr>
    </w:p>
    <w:p>
      <w:pPr>
        <w:numPr>
          <w:ilvl w:val="0"/>
          <w:numId w:val="3"/>
        </w:numPr>
        <w:ind w:firstLine="0" w:firstLineChars="0"/>
        <w:jc w:val="center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监督评估</w:t>
      </w:r>
    </w:p>
    <w:p>
      <w:pPr>
        <w:ind w:firstLine="640"/>
        <w:rPr>
          <w:rFonts w:cs="Times New Roman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  <w:t>二十三</w:t>
      </w: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  <w:t xml:space="preserve">条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建立专家评价机制。选用处室根据实际情况，适时对专家业务水平、尽职负责态度等在系统中进行评价。评价结果分为优秀、一般、差三个等次，作为参与后续项目评审的依据。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  <w:t>第二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条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  <w:highlight w:val="none"/>
        </w:rPr>
        <w:t>加强专家信息审核。专家所在单位要认真履行法人主体责任，对学术造假、违法违纪等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trike w:val="0"/>
          <w:color w:val="auto"/>
          <w:spacing w:val="0"/>
          <w:kern w:val="2"/>
          <w:sz w:val="32"/>
          <w:szCs w:val="32"/>
          <w:highlight w:val="none"/>
          <w:shd w:val="clear" w:fill="auto"/>
          <w:lang w:val="en-US" w:eastAsia="zh-CN" w:bidi="ar"/>
        </w:rPr>
        <w:t>出库情形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  <w:highlight w:val="none"/>
        </w:rPr>
        <w:t>及时报告。如因单位审核不实、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告知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  <w:highlight w:val="none"/>
        </w:rPr>
        <w:t>不及时，给项目评审造成重大影响的，将视情节轻重给予批评教育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  <w:highlight w:val="none"/>
        </w:rPr>
        <w:t>直至取消单位推荐资格等，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  <w:highlight w:val="none"/>
          <w:u w:val="none"/>
        </w:rPr>
        <w:t>涉及严重失信行为的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u w:val="none"/>
          <w:shd w:val="clear" w:fill="auto"/>
          <w:lang w:val="en-US" w:eastAsia="zh-CN" w:bidi="ar"/>
        </w:rPr>
        <w:t>计入严重失信主体名单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  <w:highlight w:val="none"/>
          <w:u w:val="none"/>
        </w:rPr>
        <w:t>。</w:t>
      </w:r>
    </w:p>
    <w:p>
      <w:pPr>
        <w:ind w:firstLine="64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  <w:t>第二十五条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选用处室在评审过程中发现专家存在以下违法违规行为的，应该同步告知派出单位及专家库办公室，由专家库办公室做出相应处置：</w:t>
      </w:r>
    </w:p>
    <w:p>
      <w:pPr>
        <w:ind w:firstLine="640"/>
        <w:rPr>
          <w:rFonts w:hint="eastAsia" w:ascii="仿宋_GB2312" w:hAnsi="仿宋_GB2312" w:eastAsia="仿宋" w:cs="仿宋_GB2312"/>
          <w:sz w:val="32"/>
          <w:szCs w:val="32"/>
          <w:highlight w:val="none"/>
          <w:lang w:val="en-US" w:eastAsia="zh-CN"/>
        </w:rPr>
      </w:pPr>
      <w:r>
        <w:rPr>
          <w:rFonts w:hint="eastAsia"/>
          <w:highlight w:val="none"/>
          <w:lang w:eastAsia="zh-CN"/>
        </w:rPr>
        <w:t>（</w:t>
      </w:r>
      <w:r>
        <w:rPr>
          <w:rFonts w:hint="eastAsia"/>
          <w:highlight w:val="none"/>
          <w:lang w:val="en-US" w:eastAsia="zh-CN"/>
        </w:rPr>
        <w:t>一</w:t>
      </w:r>
      <w:r>
        <w:rPr>
          <w:rFonts w:hint="eastAsia"/>
          <w:highlight w:val="none"/>
          <w:lang w:eastAsia="zh-CN"/>
        </w:rPr>
        <w:t>）</w:t>
      </w:r>
      <w:r>
        <w:rPr>
          <w:rFonts w:hint="eastAsia"/>
          <w:highlight w:val="none"/>
        </w:rPr>
        <w:t>对专家疏忽失职、任意对外宣传，或者未严格按照规定程序和标准进行评审论证的，视情节给予约谈提醒、暂停参与</w:t>
      </w:r>
      <w:r>
        <w:rPr>
          <w:rFonts w:hint="eastAsia"/>
          <w:highlight w:val="none"/>
          <w:lang w:val="en-US" w:eastAsia="zh-CN"/>
        </w:rPr>
        <w:t>评审活动</w:t>
      </w:r>
      <w:r>
        <w:rPr>
          <w:rFonts w:hint="eastAsia"/>
          <w:highlight w:val="none"/>
        </w:rPr>
        <w:t>、取消资格等处理</w:t>
      </w:r>
      <w:r>
        <w:rPr>
          <w:rFonts w:hint="eastAsia"/>
          <w:highlight w:val="none"/>
          <w:lang w:eastAsia="zh-CN"/>
        </w:rPr>
        <w:t>；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（二）</w:t>
      </w:r>
      <w:r>
        <w:rPr>
          <w:rFonts w:hint="eastAsia"/>
          <w:highlight w:val="none"/>
        </w:rPr>
        <w:t>对专家故意误导决策，情节严重或造成重大不利影响，或者存在泄露国家秘密、牟取不正当利益等情形的，依规依纪依法严肃追责问责</w:t>
      </w:r>
      <w:r>
        <w:rPr>
          <w:rFonts w:hint="eastAsia" w:eastAsia="仿宋_GB2312"/>
          <w:highlight w:val="none"/>
          <w:lang w:eastAsia="zh-CN"/>
        </w:rPr>
        <w:t>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spacing w:before="0" w:beforeAutospacing="0" w:after="0" w:afterAutospacing="0" w:line="240" w:lineRule="auto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auto"/>
          <w:lang w:val="en-US" w:eastAsia="zh-CN" w:bidi="ar"/>
        </w:rPr>
        <w:t>专家在申请入库、更新信息和评审工作中发生失信行为的，按规定取消专家资格并按有关要求纳入严重失信主体名单。</w:t>
      </w:r>
    </w:p>
    <w:p>
      <w:pPr>
        <w:numPr>
          <w:ilvl w:val="0"/>
          <w:numId w:val="3"/>
        </w:numPr>
        <w:ind w:firstLine="0" w:firstLineChars="0"/>
        <w:jc w:val="center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附则</w:t>
      </w:r>
    </w:p>
    <w:p>
      <w:pPr>
        <w:ind w:firstLine="640"/>
        <w:rPr>
          <w:rFonts w:hint="eastAsia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  <w:t>第二十</w:t>
      </w: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本办法由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省工业和信息化厅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负责解释，自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*****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起施行。《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山东省工业和信息化厅专家库管理办法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（鲁工信法规〔2021〕81号）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同时废止。 </w:t>
      </w:r>
    </w:p>
    <w:sectPr>
      <w:footerReference r:id="rId3" w:type="default"/>
      <w:pgSz w:w="11906" w:h="16838"/>
      <w:pgMar w:top="873" w:right="1800" w:bottom="873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9DED8C"/>
    <w:multiLevelType w:val="singleLevel"/>
    <w:tmpl w:val="829DED8C"/>
    <w:lvl w:ilvl="0" w:tentative="0">
      <w:start w:val="6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D51B5C5"/>
    <w:multiLevelType w:val="singleLevel"/>
    <w:tmpl w:val="FD51B5C5"/>
    <w:lvl w:ilvl="0" w:tentative="0">
      <w:start w:val="1"/>
      <w:numFmt w:val="chineseCounting"/>
      <w:suff w:val="space"/>
      <w:lvlText w:val="第%1章"/>
      <w:lvlJc w:val="left"/>
      <w:rPr>
        <w:rFonts w:hint="eastAsia" w:ascii="黑体" w:hAnsi="黑体" w:eastAsia="黑体" w:cs="黑体"/>
        <w:sz w:val="32"/>
        <w:szCs w:val="32"/>
      </w:rPr>
    </w:lvl>
  </w:abstractNum>
  <w:abstractNum w:abstractNumId="2">
    <w:nsid w:val="26B77ECA"/>
    <w:multiLevelType w:val="multilevel"/>
    <w:tmpl w:val="26B77ECA"/>
    <w:lvl w:ilvl="0" w:tentative="0">
      <w:start w:val="1"/>
      <w:numFmt w:val="chineseCountingThousand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2"/>
      <w:isLgl/>
      <w:lvlText w:val="%1.%2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isLgl/>
      <w:lvlText w:val="%1.%2.%3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isLgl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isLgl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isLgl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isLgl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kODJmMDhjNTllZWI0MTgxY2RkOTE4ODc1NzZhNTcifQ=="/>
  </w:docVars>
  <w:rsids>
    <w:rsidRoot w:val="554A7427"/>
    <w:rsid w:val="03061BB0"/>
    <w:rsid w:val="04543C70"/>
    <w:rsid w:val="06F1470F"/>
    <w:rsid w:val="08983334"/>
    <w:rsid w:val="0C100B28"/>
    <w:rsid w:val="0F037254"/>
    <w:rsid w:val="17F44633"/>
    <w:rsid w:val="18363EE3"/>
    <w:rsid w:val="1AC069D6"/>
    <w:rsid w:val="1BE242F0"/>
    <w:rsid w:val="1C9B1230"/>
    <w:rsid w:val="1E2F7142"/>
    <w:rsid w:val="21921846"/>
    <w:rsid w:val="22D20124"/>
    <w:rsid w:val="289A7EB5"/>
    <w:rsid w:val="290915EF"/>
    <w:rsid w:val="2CE4035C"/>
    <w:rsid w:val="2E283EF2"/>
    <w:rsid w:val="31672DFC"/>
    <w:rsid w:val="31984982"/>
    <w:rsid w:val="31E30983"/>
    <w:rsid w:val="3D334C2C"/>
    <w:rsid w:val="40E25782"/>
    <w:rsid w:val="44210C20"/>
    <w:rsid w:val="4B10362F"/>
    <w:rsid w:val="4CC039AA"/>
    <w:rsid w:val="554A7427"/>
    <w:rsid w:val="5C7560D1"/>
    <w:rsid w:val="6243102D"/>
    <w:rsid w:val="62FF7DE3"/>
    <w:rsid w:val="645623F8"/>
    <w:rsid w:val="66AB742C"/>
    <w:rsid w:val="69FA5E67"/>
    <w:rsid w:val="71072BAE"/>
    <w:rsid w:val="787A2071"/>
    <w:rsid w:val="79B07C3B"/>
    <w:rsid w:val="7A13275A"/>
    <w:rsid w:val="7C6C7055"/>
    <w:rsid w:val="7ECF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仿宋" w:hAnsi="仿宋" w:eastAsia="仿宋" w:cstheme="minorBidi"/>
      <w:kern w:val="2"/>
      <w:sz w:val="30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numPr>
        <w:ilvl w:val="1"/>
        <w:numId w:val="1"/>
      </w:numPr>
      <w:spacing w:before="260" w:after="260"/>
      <w:ind w:firstLineChars="0"/>
      <w:outlineLvl w:val="1"/>
    </w:pPr>
    <w:rPr>
      <w:rFonts w:cs="仿宋"/>
      <w:b/>
      <w:bCs/>
      <w:sz w:val="36"/>
      <w:szCs w:val="36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2024-02-29T06:40:00Z</dcterms:created>
  <dc:creator>91928</dc:creator>
  <cp:lastModifiedBy>Administrator</cp:lastModifiedBy>
  <cp:lastPrinted>2024-06-19T10:41:00Z</cp:lastPrinted>
  <dcterms:modified xsi:type="dcterms:W3CDTF">2024-06-27T09:51:42Z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2D957ECC44254C90AE221627065A465A_11</vt:lpwstr>
  </property>
</Properties>
</file>