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highlight w:val="none"/>
        </w:rPr>
      </w:pPr>
      <w:bookmarkStart w:id="0" w:name="_Toc25566271"/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山东省工业和信息化厅专家库管理办法</w:t>
      </w:r>
      <w:bookmarkEnd w:id="0"/>
      <w:bookmarkStart w:id="2" w:name="_GoBack"/>
      <w:bookmarkEnd w:id="2"/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）</w:t>
      </w:r>
    </w:p>
    <w:p>
      <w:pPr>
        <w:rPr>
          <w:highlight w:val="none"/>
        </w:rPr>
      </w:pPr>
    </w:p>
    <w:p>
      <w:pPr>
        <w:numPr>
          <w:ilvl w:val="0"/>
          <w:numId w:val="2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总则</w:t>
      </w:r>
    </w:p>
    <w:p>
      <w:pPr>
        <w:ind w:firstLine="600"/>
        <w:rPr>
          <w:highlight w:val="none"/>
        </w:rPr>
      </w:pPr>
    </w:p>
    <w:p>
      <w:pPr>
        <w:ind w:firstLine="640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第一条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加强专家库监督管理，健全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专家库制度，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规范提升专家履职评审行为，提高行业专家的专业支撑作用，有效保障厅机关科学决策水平，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结合工作实际，制定本办法。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本办法所称专家库旨在汇集高层次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专家资源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，服务我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厅工信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领域各类评审、论证、咨询、评估、评价和认定（以下统称“评审”）等活动。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本办法所称专家是具备参与相关专业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活动所需的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储备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、职业资格和实践经验，经省工业和信息化厅审核,纳入专家库管理,根据工作需要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和规定程序，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参与公共决策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及其他评审活动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论证并提出咨询意见的专业人员。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省工业和信息化厅成立专家库管理领导小组，由厅主要领导任组长，各分管领导为成员。领导小组负责专家入库审核、专家库管理办法修订等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。领导小组下设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，办公室设在政策法规处，负责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专家库建设开发、升级改造，牵头征集、补充、调整专家库入库专家，以及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日常使用审批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00"/>
        <w:rPr>
          <w:highlight w:val="none"/>
        </w:rPr>
      </w:pPr>
    </w:p>
    <w:p>
      <w:pPr>
        <w:numPr>
          <w:ilvl w:val="0"/>
          <w:numId w:val="2"/>
        </w:num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评审范围</w:t>
      </w:r>
    </w:p>
    <w:p>
      <w:pPr>
        <w:numPr>
          <w:ilvl w:val="-1"/>
          <w:numId w:val="0"/>
        </w:numPr>
        <w:spacing w:before="192" w:line="357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专家参与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的事项包括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公共决策事项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和其他评审事项。</w:t>
      </w:r>
    </w:p>
    <w:p>
      <w:pPr>
        <w:numPr>
          <w:ilvl w:val="-1"/>
          <w:numId w:val="0"/>
        </w:numPr>
        <w:spacing w:before="192" w:line="357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公共决策事项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指在工业和信息化领域开展的以下工作：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制定国民经济和社会发展等方面的重要规划、重大公共政策和措施；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需专家参与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决定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行政许可，重大公共建设项目等投资审批、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招标采购、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重大课题安排等公共资源分配事项，重要荣誉或称号授予等；对经济社会发展有重大影响、涉及重大公共利益或者社会公众切身利益的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事项。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其他评审事项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除公共决策事项之外的常规性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规划编制、政策研究、技术咨询、项目评审、项目验收、标准制订和各类达标评优等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评审工作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评审范围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不包括一般性、例行性征求专家意见或专家座谈等。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各业务处室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评审事项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主体责任，对专家评审意见要严格把关，更好发挥专家辅助决策作用，防止凡事都要组织专家评审的倾向，坚决避免以专家评审代替行政机关决策，造成决策主体责任缺失。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numPr>
          <w:ilvl w:val="0"/>
          <w:numId w:val="2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入库条件</w:t>
      </w:r>
    </w:p>
    <w:p>
      <w:pPr>
        <w:ind w:firstLine="600"/>
        <w:rPr>
          <w:highlight w:val="none"/>
        </w:rPr>
      </w:pPr>
    </w:p>
    <w:p>
      <w:pPr>
        <w:ind w:firstLine="640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专家入库基本条件：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政治立场坚定，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品德良好，身体健康，具有良好的职业道德，承担工作任务科学严谨、客观公正、廉洁自律；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（二）熟悉国家和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省工业和信息化领域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政策措施、法律法规，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本领域国内外情况和前沿动态；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（三）从事相关行业研究或管理工作5年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较高的理论水平，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技术研究成果；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）年龄一般不超过65岁，两院院士或有特殊需求的专家不受此年龄限制；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无学术道德问题，无不良社会信用记录，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和违纪违法等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记录</w:t>
      </w:r>
      <w:r>
        <w:rPr>
          <w:rFonts w:hint="eastAsia" w:cs="仿宋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原则上应取得人事关系所在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推荐和确认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专家入库专业技术条件：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技术、财务审计等领域专家除符合本办法第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条规定外，还应符合以下条件：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（一）法律领域专家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具有副高级（含）以上职称或国家二级律师（含）以上资格的人员，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熟悉工业和信息化产业政策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及相关法律法规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等，具有较高的政策理论水平和业务管理经验；</w:t>
      </w:r>
    </w:p>
    <w:p>
      <w:pPr>
        <w:spacing w:line="240" w:lineRule="auto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技术领域专家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具有副高级（含）以上职称人员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包括：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省级以上认定的研发中心、企业技术中心、重点实验室等技术负责人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高等院校、科研院所、行业协会、行业领军企业的中高层管理人员、产业基金投资机构中高层管理人员等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（三）财务审计专家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熟悉经费管理制度，具有副高级（含）以上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或相当执业资格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高级会计师、高级审计师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注册会计师等人员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0" w:firstLineChars="0"/>
        <w:rPr>
          <w:highlight w:val="none"/>
        </w:rPr>
      </w:pPr>
    </w:p>
    <w:p>
      <w:pPr>
        <w:numPr>
          <w:ilvl w:val="0"/>
          <w:numId w:val="2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专家管理</w:t>
      </w:r>
    </w:p>
    <w:p>
      <w:pPr>
        <w:ind w:firstLine="0" w:firstLineChars="0"/>
        <w:rPr>
          <w:highlight w:val="none"/>
        </w:rPr>
      </w:pPr>
    </w:p>
    <w:p>
      <w:pPr>
        <w:snapToGrid w:val="0"/>
        <w:spacing w:line="600" w:lineRule="exact"/>
        <w:ind w:firstLine="640"/>
        <w:rPr>
          <w:rFonts w:hint="eastAsia" w:ascii="黑体" w:hAnsi="黑体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bookmarkStart w:id="1" w:name="_Hlk6264974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bookmarkEnd w:id="1"/>
      <w:r>
        <w:rPr>
          <w:rFonts w:cs="Times New Roman"/>
          <w:sz w:val="32"/>
          <w:szCs w:val="32"/>
          <w:highlight w:val="none"/>
        </w:rPr>
        <w:t>专家</w:t>
      </w:r>
      <w:r>
        <w:rPr>
          <w:rFonts w:hint="eastAsia" w:cs="Times New Roman"/>
          <w:sz w:val="32"/>
          <w:szCs w:val="32"/>
          <w:highlight w:val="none"/>
          <w:lang w:eastAsia="zh-CN"/>
        </w:rPr>
        <w:t>入库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管理</w:t>
      </w:r>
      <w:r>
        <w:rPr>
          <w:rFonts w:hint="eastAsia" w:cs="Times New Roman"/>
          <w:sz w:val="32"/>
          <w:szCs w:val="32"/>
          <w:highlight w:val="none"/>
        </w:rPr>
        <w:t>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方式。</w:t>
      </w:r>
      <w:r>
        <w:rPr>
          <w:spacing w:val="29"/>
          <w:sz w:val="29"/>
          <w:szCs w:val="29"/>
          <w:highlight w:val="none"/>
        </w:rPr>
        <w:t>坚持竞争</w:t>
      </w:r>
      <w:r>
        <w:rPr>
          <w:spacing w:val="28"/>
          <w:sz w:val="29"/>
          <w:szCs w:val="29"/>
          <w:highlight w:val="none"/>
        </w:rPr>
        <w:t>择优的</w:t>
      </w:r>
      <w:r>
        <w:rPr>
          <w:spacing w:val="32"/>
          <w:sz w:val="29"/>
          <w:szCs w:val="29"/>
          <w:highlight w:val="none"/>
        </w:rPr>
        <w:t>原则，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专家入库采用公开遴选、定向邀请等方式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择优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选取专家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公开遴选由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办公室负责通过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门户网站向社会公开征集专家，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定向邀请由相关业务处室负责推荐本领域行业专家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申请。专家登录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省工业和信息化厅专家管理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系统，如实填写《山东省工业和信息化厅专家资格审查表》，并附相关证明材料（身份证件、学历证书、技术职称等），经所在单位真实性审核后推荐提交；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审核及专家评审。对于定向邀请的，由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各业务处室对本行业专家资格进行审核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再由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组织入库评审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对于公开遴选的直接由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组织入库评审，经入库评审后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确定拟入库专家名单，报专家库领导小组审定；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除涉密、法律法规和国家另有规定等情形外，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实际需要，采取适当方式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公示拟入库专家名单，接受社会监督，公示期不少于5个工作日；</w:t>
      </w:r>
    </w:p>
    <w:p>
      <w:pPr>
        <w:ind w:firstLine="640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入库。对公示无异议的专家，专家库办公室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将入选专家信息录入专家库，正式成为省工业和信息化厅专家库成员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3"/>
        <w:snapToGrid w:val="0"/>
        <w:spacing w:line="600" w:lineRule="exact"/>
        <w:ind w:firstLine="640" w:firstLineChars="0"/>
        <w:rPr>
          <w:rFonts w:cs="Times New Roman"/>
          <w:color w:val="FF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出库管理。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专家有下列情况者，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应当终止其专家资格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）不能客观公正履行职责，评价结果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两次被评价为差的；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）履行专家职责期间，泄露获取的技术、商业秘密、未公开的政策信息以及其他不宜公开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）收受他人财物或者其他利益、影响客观公正履行职责的；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）与项目有关单位存在利益关系，未主动提出回避并造成不良影响的；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）利用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专家名义牟取不正当利益的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）连续三次未在规定时间回复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连续三次接受邀请后缺席的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因身体原因，不能胜任专家工作的；</w:t>
      </w:r>
    </w:p>
    <w:p>
      <w:pPr>
        <w:ind w:firstLine="640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因工作变动，不再适宜担任专家的</w:t>
      </w:r>
      <w:r>
        <w:rPr>
          <w:rFonts w:hint="eastAsia"/>
          <w:highlight w:val="none"/>
        </w:rPr>
        <w:t>；</w:t>
      </w:r>
    </w:p>
    <w:p>
      <w:pPr>
        <w:ind w:firstLine="640"/>
        <w:rPr>
          <w:rFonts w:hint="eastAsia" w:eastAsia="仿宋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十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两院院士或有特殊需求的专家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以外，年满65周岁的；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玩忽职守或者其他不认真履行职责行为，导致恶劣影响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十二）采取弄虚作假等不正当手段骗取专家资格的；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十三）出现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学术道德问题，不良社会信用记录，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违法违纪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记录等情形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仿宋" w:hAnsi="仿宋" w:eastAsia="仿宋" w:cs="仿宋"/>
          <w:spacing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仿宋"/>
          <w:spacing w:val="0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信息更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新。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对于更新手机号码、银行卡号等一般信息的，专家应实时登录系统更新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告知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专家库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办公室</w:t>
      </w:r>
      <w:r>
        <w:rPr>
          <w:rFonts w:hint="eastAsia" w:cs="仿宋"/>
          <w:sz w:val="32"/>
          <w:szCs w:val="32"/>
          <w:highlight w:val="none"/>
          <w:lang w:eastAsia="zh-CN"/>
        </w:rPr>
        <w:t>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由专家库办公室完成审核。对于更新专家职称、职称等级、行业分类等关键信息的，由专家库办公室定期组织集中更新及审核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第十三条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选用处室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加强对专家的培训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，帮助专家及时掌握其所参与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评审活动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相关的法律制度、政策规定、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行业动态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numPr>
          <w:ilvl w:val="0"/>
          <w:numId w:val="2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权利义务</w:t>
      </w:r>
    </w:p>
    <w:p>
      <w:pPr>
        <w:ind w:firstLine="0" w:firstLineChars="0"/>
        <w:rPr>
          <w:highlight w:val="none"/>
        </w:rPr>
      </w:pPr>
    </w:p>
    <w:p>
      <w:pPr>
        <w:snapToGrid w:val="0"/>
        <w:spacing w:line="600" w:lineRule="exact"/>
        <w:ind w:firstLine="640"/>
        <w:rPr>
          <w:rFonts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履行工作期间，专家享有以下权利： 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（一）了解所承担工作任务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相关信息，认为提供的信息不充分时可以要求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补充相关资料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依法独立发表意见和建议，不受任何组织和个人干预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到评审现场后，发现存在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需要回避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的情形，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有权申请拒绝参与；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按照有关规定获得相应劳务报酬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highlight w:val="none"/>
        </w:rPr>
        <w:t>费用由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highlight w:val="none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highlight w:val="none"/>
        </w:rPr>
        <w:t>在年度部门预算中按有关规定列支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法律、行政法规规定的其他权利。</w:t>
      </w:r>
    </w:p>
    <w:p>
      <w:pPr>
        <w:snapToGrid w:val="0"/>
        <w:spacing w:line="600" w:lineRule="exact"/>
        <w:ind w:firstLine="640"/>
        <w:rPr>
          <w:rFonts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履行工作期间，专家承担以下义务：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（一）严格遵守国家相关法律法规、规章制度；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（二）认真履行职责，提前阅研工作相关材料，在规定期限内客观、公正、具体地提出意见，并对所签署的意见负责；</w:t>
      </w:r>
    </w:p>
    <w:p>
      <w:pPr>
        <w:ind w:firstLine="640"/>
        <w:rPr>
          <w:rFonts w:hint="eastAsia" w:ascii="仿宋_GB2312" w:hAnsi="仿宋_GB2312" w:eastAsia="仿宋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严格遵守保密制度，不得泄露参与公共决策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和其他评审所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知悉的国家秘密、工作秘密、商业秘密以及其他不应公开的信息，不得擅自对外发表有关意见和言论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；</w:t>
      </w:r>
    </w:p>
    <w:p>
      <w:pPr>
        <w:numPr>
          <w:ilvl w:val="-1"/>
          <w:numId w:val="0"/>
        </w:numPr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专家不得以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highlight w:val="none"/>
          <w:lang w:val="en-US" w:eastAsia="zh-CN"/>
        </w:rPr>
        <w:t>省工业和信息化厅专家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的头衔对外宣传或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出席任何活动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highlight w:val="none"/>
          <w:lang w:val="en-US" w:eastAsia="zh-CN"/>
        </w:rPr>
        <w:t>省工业和信息化厅专家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的头衔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作为职称评审或获取其他称号或荣誉的依据，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不得利用参与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评审的便利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获取不正当利益，不得参与可能影响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意见公正性的活动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；</w:t>
      </w:r>
    </w:p>
    <w:p>
      <w:pPr>
        <w:numPr>
          <w:ilvl w:val="-1"/>
          <w:numId w:val="0"/>
        </w:numPr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专家技术职称、工作单位等重要信息发生变更时，及时登录专家库按要求更新信息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如因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报备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不及时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且发生“第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条”情形的，视为“第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条第四款”情形；</w:t>
      </w:r>
    </w:p>
    <w:p>
      <w:pPr>
        <w:numPr>
          <w:ilvl w:val="-1"/>
          <w:numId w:val="0"/>
        </w:numPr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严格廉洁要求，不得接受利益相关方及其请托人的送礼和宴请等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；</w:t>
      </w:r>
    </w:p>
    <w:p>
      <w:pPr>
        <w:numPr>
          <w:ilvl w:val="-1"/>
          <w:numId w:val="0"/>
        </w:numPr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本人专业能力不能胜任时，主动提出退出评审等活动；</w:t>
      </w:r>
    </w:p>
    <w:p>
      <w:pPr>
        <w:numPr>
          <w:ilvl w:val="-1"/>
          <w:numId w:val="0"/>
        </w:numPr>
        <w:ind w:firstLine="64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遵守评审活动要求的其他工作纪律。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numPr>
          <w:ilvl w:val="0"/>
          <w:numId w:val="2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使用管理</w:t>
      </w:r>
    </w:p>
    <w:p>
      <w:pPr>
        <w:ind w:firstLine="0" w:firstLineChars="0"/>
        <w:rPr>
          <w:highlight w:val="none"/>
        </w:rPr>
      </w:pPr>
    </w:p>
    <w:p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专家需求处室（以下简称“选用处室”）根据工作需要，线上填写专家使用申请表，提出所需专家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数量、工作时间、工作地点、行业分类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、需要回避的单位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等信息，经处室主要负责人同意后，提交专家库办公室审核。专家库办公室在2个工作日内审核并给予通过或补充信息的答复，审核通过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选用处室即可操作抽取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。 </w:t>
      </w:r>
    </w:p>
    <w:p>
      <w:pPr>
        <w:snapToGrid w:val="0"/>
        <w:spacing w:line="600" w:lineRule="exact"/>
        <w:ind w:firstLine="640"/>
        <w:rPr>
          <w:rFonts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用处室在线随机抽取所需专家，专家库办公室和机关纪委对抽取过程进行线上监督，系统自动联系抽取到的专家并确认是否参加活动。如在规定时间内，专家反馈不能参加相关工作或没有反馈信息，系统将自动补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，直到全部符合要求为止。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如采取随机抽取方式确定的专家难以胜任工作所需，符合以下条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之一的，经报请选用处室分管厅领导同意后，由选用处室直接指定专家，并报厅机关纪委备案：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（一）因技术特别复杂、专业性要求特别高，专家库中没有满足条件的专家或者满足条件的专家数额不足的；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（二）国家或省有特殊要求的。</w:t>
      </w:r>
    </w:p>
    <w:p>
      <w:pPr>
        <w:snapToGrid w:val="0"/>
        <w:spacing w:line="600" w:lineRule="exact"/>
        <w:ind w:firstLine="640"/>
        <w:rPr>
          <w:rFonts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专家选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轮换原则。同一专家被连续选中两次后，在下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轮抽取活动中自动轮空。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/>
        </w:rPr>
        <w:t>原则上每位专家每年参加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本厅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/>
        </w:rPr>
        <w:t>评审活动不超过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/>
          <w:lang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/>
        </w:rPr>
        <w:t>次。</w:t>
      </w:r>
    </w:p>
    <w:p>
      <w:pPr>
        <w:snapToGrid w:val="0"/>
        <w:spacing w:line="600" w:lineRule="exact"/>
        <w:ind w:firstLine="640"/>
        <w:rPr>
          <w:rFonts w:hint="eastAsia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专家选取遵循回避原则。涉及下列回避事项，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在参与相关活动前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主动提出回避请求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（一）被评审项目的负责人或参与人员；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）与被评审项目负责人有近亲属关系等重大利益关系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eastAsia="zh-CN"/>
        </w:rPr>
        <w:t>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（三）与被评审项目单位有重大经济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利益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关系；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）与被评审项目负责人隶属于同一法人单位，或所在单位与被评审项目申报单位有隶属关系；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（五）其他可能妨碍评审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公平、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公正的情形。</w:t>
      </w:r>
    </w:p>
    <w:p>
      <w:pPr>
        <w:tabs>
          <w:tab w:val="left" w:pos="5400"/>
          <w:tab w:val="left" w:pos="5700"/>
        </w:tabs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专家确定后，选用处室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自行下载《专家费发放表》，现场专家签字确认。同时，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对最终确定的专家名单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逐级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签字确认，作为支取专家费用的凭证，财务处按照有关规定支付专家费用。</w:t>
      </w:r>
    </w:p>
    <w:p>
      <w:pPr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</w:rPr>
        <w:t>评审活动结束后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lang w:val="en-US"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处室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需及时上传专家评审意见，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确保专家参与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过程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可追溯。</w:t>
      </w:r>
    </w:p>
    <w:p>
      <w:pPr>
        <w:ind w:firstLine="600"/>
        <w:rPr>
          <w:highlight w:val="none"/>
        </w:rPr>
      </w:pPr>
    </w:p>
    <w:p>
      <w:pPr>
        <w:numPr>
          <w:ilvl w:val="0"/>
          <w:numId w:val="3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监督评估</w:t>
      </w:r>
    </w:p>
    <w:p>
      <w:pPr>
        <w:ind w:firstLine="640"/>
        <w:rPr>
          <w:rFonts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建立专家评价机制。选用处室根据实际情况，适时对专家业务水平、尽职负责态度等在系统中进行评价。评价结果分为优秀、一般、差三个等次，作为参与后续项目评审的依据。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第二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加强专家信息审核。专家所在单位要认真履行法人主体责任，对学术造假、违法违纪等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出库情形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及时报告。如因单位审核不实、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不及时，给项目评审造成重大影响的，将视情节轻重给予批评教育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直至取消单位推荐资格等，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涉及严重失信行为的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"/>
        </w:rPr>
        <w:t>计入严重失信主体名单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选用处室在评审过程中发现专家存在以下违法违规行为的，应该同步告知派出单位及专家库办公室，由专家库办公室做出相应处置：</w:t>
      </w:r>
    </w:p>
    <w:p>
      <w:pPr>
        <w:ind w:firstLine="640"/>
        <w:rPr>
          <w:rFonts w:hint="eastAsia" w:ascii="仿宋_GB2312" w:hAnsi="仿宋_GB2312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一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对专家疏忽失职、任意对外宣传，或者未严格按照规定程序和标准进行评审论证的，视情节给予约谈提醒、暂停参与</w:t>
      </w:r>
      <w:r>
        <w:rPr>
          <w:rFonts w:hint="eastAsia"/>
          <w:highlight w:val="none"/>
          <w:lang w:val="en-US" w:eastAsia="zh-CN"/>
        </w:rPr>
        <w:t>评审活动</w:t>
      </w:r>
      <w:r>
        <w:rPr>
          <w:rFonts w:hint="eastAsia"/>
          <w:highlight w:val="none"/>
        </w:rPr>
        <w:t>、取消资格等处理</w:t>
      </w:r>
      <w:r>
        <w:rPr>
          <w:rFonts w:hint="eastAsia"/>
          <w:highlight w:val="none"/>
          <w:lang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/>
          <w:highlight w:val="none"/>
        </w:rPr>
        <w:t>对专家故意误导决策，情节严重或造成重大不利影响，或者存在泄露国家秘密、牟取不正当利益等情形的，依规依纪依法严肃追责问责</w:t>
      </w:r>
      <w:r>
        <w:rPr>
          <w:rFonts w:hint="eastAsia" w:eastAsia="仿宋_GB2312"/>
          <w:highlight w:val="none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240" w:lineRule="auto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专家在申请入库、更新信息和评审工作中发生失信行为的，按规定取消专家资格并按有关要求纳入严重失信主体名单。</w:t>
      </w:r>
    </w:p>
    <w:p>
      <w:pPr>
        <w:numPr>
          <w:ilvl w:val="0"/>
          <w:numId w:val="3"/>
        </w:numPr>
        <w:ind w:firstLine="0" w:firstLineChars="0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附则</w:t>
      </w:r>
    </w:p>
    <w:p>
      <w:pPr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第二十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本办法由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负责解释，自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起施行。《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山东省工业和信息化厅专家库管理办法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（鲁工信法规〔2021〕81号）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同时废止。 </w:t>
      </w:r>
    </w:p>
    <w:sectPr>
      <w:footerReference r:id="rId3" w:type="default"/>
      <w:pgSz w:w="11906" w:h="16838"/>
      <w:pgMar w:top="873" w:right="1800" w:bottom="87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DED8C"/>
    <w:multiLevelType w:val="singleLevel"/>
    <w:tmpl w:val="829DED8C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D51B5C5"/>
    <w:multiLevelType w:val="singleLevel"/>
    <w:tmpl w:val="FD51B5C5"/>
    <w:lvl w:ilvl="0" w:tentative="0">
      <w:start w:val="1"/>
      <w:numFmt w:val="chineseCounting"/>
      <w:suff w:val="space"/>
      <w:lvlText w:val="第%1章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2">
    <w:nsid w:val="26B77ECA"/>
    <w:multiLevelType w:val="multilevel"/>
    <w:tmpl w:val="26B77ECA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ODJmMDhjNTllZWI0MTgxY2RkOTE4ODc1NzZhNTcifQ=="/>
  </w:docVars>
  <w:rsids>
    <w:rsidRoot w:val="554A7427"/>
    <w:rsid w:val="03061BB0"/>
    <w:rsid w:val="04543C70"/>
    <w:rsid w:val="06F1470F"/>
    <w:rsid w:val="08983334"/>
    <w:rsid w:val="0C100B28"/>
    <w:rsid w:val="0F037254"/>
    <w:rsid w:val="17F44633"/>
    <w:rsid w:val="18363EE3"/>
    <w:rsid w:val="1AC069D6"/>
    <w:rsid w:val="1BE242F0"/>
    <w:rsid w:val="1C9B1230"/>
    <w:rsid w:val="1E2F7142"/>
    <w:rsid w:val="21921846"/>
    <w:rsid w:val="22D20124"/>
    <w:rsid w:val="289A7EB5"/>
    <w:rsid w:val="290915EF"/>
    <w:rsid w:val="2CE4035C"/>
    <w:rsid w:val="2E283EF2"/>
    <w:rsid w:val="31672DFC"/>
    <w:rsid w:val="31984982"/>
    <w:rsid w:val="31E30983"/>
    <w:rsid w:val="3D334C2C"/>
    <w:rsid w:val="40E25782"/>
    <w:rsid w:val="44210C20"/>
    <w:rsid w:val="4B10362F"/>
    <w:rsid w:val="4CC039AA"/>
    <w:rsid w:val="554A7427"/>
    <w:rsid w:val="5C7560D1"/>
    <w:rsid w:val="6243102D"/>
    <w:rsid w:val="62FF7DE3"/>
    <w:rsid w:val="645623F8"/>
    <w:rsid w:val="66AB742C"/>
    <w:rsid w:val="69FA5E67"/>
    <w:rsid w:val="71072BAE"/>
    <w:rsid w:val="787A2071"/>
    <w:rsid w:val="79B07C3B"/>
    <w:rsid w:val="7A13275A"/>
    <w:rsid w:val="7C6C7055"/>
    <w:rsid w:val="7EC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/>
      <w:ind w:firstLineChars="0"/>
      <w:outlineLvl w:val="1"/>
    </w:pPr>
    <w:rPr>
      <w:rFonts w:cs="仿宋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2024-02-29T06:40:00Z</dcterms:created>
  <dc:creator>91928</dc:creator>
  <cp:lastModifiedBy>Administrator</cp:lastModifiedBy>
  <cp:lastPrinted>2024-06-19T10:41:00Z</cp:lastPrinted>
  <dcterms:modified xsi:type="dcterms:W3CDTF">2024-06-27T09:51:42Z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2D957ECC44254C90AE221627065A465A_11</vt:lpwstr>
  </property>
</Properties>
</file>