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19867">
      <w:pPr>
        <w:pStyle w:val="2"/>
        <w:widowControl/>
        <w:adjustRightInd w:val="0"/>
        <w:snapToGrid w:val="0"/>
        <w:spacing w:after="0" w:line="560" w:lineRule="exact"/>
        <w:ind w:left="0" w:leftChars="0" w:right="0" w:rightChars="0" w:firstLine="640" w:firstLineChars="200"/>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黑体" w:hAnsi="黑体" w:eastAsia="黑体" w:cs="黑体"/>
          <w:sz w:val="32"/>
          <w:szCs w:val="32"/>
        </w:rPr>
        <w:t>：</w:t>
      </w:r>
    </w:p>
    <w:p w14:paraId="2502CC57">
      <w:pPr>
        <w:spacing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中稀天马新材料科技股份有限公司</w:t>
      </w:r>
    </w:p>
    <w:p w14:paraId="2FEF2849">
      <w:pPr>
        <w:spacing w:line="660" w:lineRule="exact"/>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合作需求</w:t>
      </w:r>
    </w:p>
    <w:p w14:paraId="72F7188E">
      <w:pPr>
        <w:spacing w:line="660" w:lineRule="exact"/>
        <w:jc w:val="center"/>
        <w:rPr>
          <w:rFonts w:hint="eastAsia" w:ascii="方正小标宋简体" w:hAnsi="方正小标宋简体" w:eastAsia="方正小标宋简体" w:cs="方正小标宋简体"/>
          <w:sz w:val="44"/>
          <w:szCs w:val="44"/>
        </w:rPr>
      </w:pPr>
    </w:p>
    <w:p w14:paraId="002626FE">
      <w:pPr>
        <w:rPr>
          <w:rFonts w:hint="eastAsia" w:ascii="黑体" w:hAnsi="黑体" w:eastAsia="黑体" w:cs="黑体"/>
          <w:sz w:val="32"/>
          <w:szCs w:val="32"/>
        </w:rPr>
      </w:pPr>
      <w:r>
        <w:rPr>
          <w:rFonts w:hint="eastAsia" w:ascii="黑体" w:hAnsi="黑体" w:eastAsia="黑体" w:cs="黑体"/>
          <w:sz w:val="32"/>
          <w:szCs w:val="32"/>
        </w:rPr>
        <w:t>一、企业基本情况</w:t>
      </w:r>
    </w:p>
    <w:p w14:paraId="4925BA3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稀天马新材料科技股份有限公司成立于2010年，注册资本9903.9万元，是目前国内规模最大的以绿色稀土资源回收综合利用为特色的国家级高新技术企业。主要产品为镨钕、钆、铽、镝、钬等稀土氧化物及稀土合金，市场占有率居全国稀土二次资源综合利用行业首位。公司始终倡导“资源有限，循环无限”的理念，是绿色稀土资源行业首家提出并实现生产过程中废水循环利用“零”排放、物料预烧过程中余热回收成蒸汽再利用的企业。荣获国家级绿色工厂、山东省单项冠军、山东省稀土材料绿色低碳回收及应用重点实验室等荣誉。</w:t>
      </w:r>
    </w:p>
    <w:p w14:paraId="377EC1A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2024年，公司实现产值25.23亿元，稀土氧化物产量8660吨，同比增长56.7%。</w:t>
      </w:r>
    </w:p>
    <w:p w14:paraId="6CF3271B">
      <w:pPr>
        <w:spacing w:line="560" w:lineRule="exact"/>
        <w:ind w:firstLine="640" w:firstLineChars="200"/>
        <w:rPr>
          <w:rFonts w:hint="eastAsia"/>
        </w:rPr>
      </w:pPr>
      <w:r>
        <w:rPr>
          <w:rFonts w:hint="eastAsia" w:ascii="仿宋_GB2312" w:hAnsi="仿宋_GB2312" w:eastAsia="仿宋_GB2312" w:cs="仿宋_GB2312"/>
          <w:sz w:val="32"/>
          <w:szCs w:val="32"/>
        </w:rPr>
        <w:t>公司拥有由博士、硕士及高级工程师等高层次技术人才组成的研发团队近百人。现有专利60余项，参与制定国家、行业及团体标准30余项。公司以稀土二次资源为产业链的源头，倾力打造从“城市矿产”终端拆解-稀土二次资源-稀土氧化物-稀土金属及合金-稀土功能材料-稀土高端应用等绿色制造循环经济产业链，走绿色资源、清洁生产、循环经济、低碳可持续发展的道路。</w:t>
      </w:r>
    </w:p>
    <w:p w14:paraId="72C64A81">
      <w:pPr>
        <w:rPr>
          <w:rFonts w:hint="eastAsia" w:ascii="黑体" w:hAnsi="黑体" w:eastAsia="黑体" w:cs="黑体"/>
          <w:sz w:val="32"/>
          <w:szCs w:val="32"/>
        </w:rPr>
      </w:pPr>
      <w:r>
        <w:rPr>
          <w:rFonts w:hint="eastAsia" w:ascii="黑体" w:hAnsi="黑体" w:eastAsia="黑体" w:cs="黑体"/>
          <w:sz w:val="32"/>
          <w:szCs w:val="32"/>
        </w:rPr>
        <w:t>二、稀土二次资源发展战略意义</w:t>
      </w:r>
    </w:p>
    <w:p w14:paraId="7CE81432">
      <w:pPr>
        <w:pStyle w:val="5"/>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稀土是不可再生的战略资源，随着稀土应用领域不断发展，稀土需求激增，而稀土矿产资源储量有限。通过循环利用二次资源（如生产废料、报废设备中的废旧磁材），一方面能有效补充市场供应，可大幅减少对稀土矿产资源的依赖，延长稀土矿产资源开采年限，使矿产资源得到保护。同时，降低对外部资源的依赖，增强国家资源安全保障能力，巩固我国在稀土产业链中的主导地位，提升在全球稀土市场话语权；另一方面，稀土二次资源综合利用产业符合国家“双碳”战略要求，能够有效减少开采和加工过程中的能源消耗与环境污染，降低废弃物排放，实现资源的闭环利用，助力经济社会绿色转型。因此，发展和壮大稀土二次资源循环利用产业，不仅是资源保护的需要，更是保障国家经济安全、推动产业升级和实现可持续发展的战略举措。</w:t>
      </w:r>
    </w:p>
    <w:p w14:paraId="5EEDAC9A">
      <w:pPr>
        <w:spacing w:line="560" w:lineRule="exact"/>
        <w:ind w:firstLine="640" w:firstLineChars="200"/>
        <w:rPr>
          <w:rFonts w:hint="eastAsia"/>
        </w:rPr>
      </w:pPr>
      <w:r>
        <w:rPr>
          <w:rFonts w:hint="eastAsia" w:ascii="仿宋_GB2312" w:hAnsi="仿宋_GB2312" w:eastAsia="仿宋_GB2312" w:cs="仿宋_GB2312"/>
          <w:sz w:val="32"/>
          <w:szCs w:val="32"/>
        </w:rPr>
        <w:t>中稀天马深耕稀土二次资源循环利用产业30余年，始终坚持创新引领，以推进国家稀土二次资源综合利用技术发展为己任，带动上下游产业链全面发展。与中科院宁波创新院、长春应化所、山东大学、天津大学、内蒙古科技大学等国内十多家科研院所建立长期合作关系。并吸纳了院士、高校教授、协会、院校博士等20余位行业专家及高层次人才，协同合作。建设了国内首个稀土二次资源“城市矿产”科创中心，该项目集研发楼、中试车间、智控中心、展示及报告中心等，集技术研发、咨询论证、检测评价、学术交流、智能控制、工业博览等功能于一体。生产工艺和技术水平在行业内居领先地位，产品涵盖轻、重稀土，产量占全国稀土二次资源综合利用行业的30%以上，稳居行业首位。梁山县以中稀天马为龙头，发挥链主企业优势，招引上下游领军企业，补链强链，实现稀土产业“无中生有”，并逐步形成了“永磁电机拆解—稀土氧化物萃取—稀土金属及合金加工—磁性材料加工”于一体的闭合循环产业链条。规划建设了4400余亩的梁山稀土新材料循环经济产业园，致力于打造首个国家级稀土二次资源循环经济产业基地，助力山东省稀土产业发展壮大。</w:t>
      </w:r>
    </w:p>
    <w:p w14:paraId="65622F94">
      <w:pPr>
        <w:rPr>
          <w:rFonts w:hint="eastAsia" w:ascii="黑体" w:hAnsi="黑体" w:eastAsia="黑体" w:cs="黑体"/>
          <w:sz w:val="32"/>
          <w:szCs w:val="32"/>
        </w:rPr>
      </w:pPr>
      <w:r>
        <w:rPr>
          <w:rFonts w:hint="eastAsia" w:ascii="黑体" w:hAnsi="黑体" w:eastAsia="黑体" w:cs="黑体"/>
          <w:sz w:val="32"/>
          <w:szCs w:val="32"/>
        </w:rPr>
        <w:t>三、政策需求</w:t>
      </w:r>
    </w:p>
    <w:p w14:paraId="6326B1E4">
      <w:pPr>
        <w:spacing w:line="560" w:lineRule="exact"/>
        <w:ind w:firstLine="640" w:firstLineChars="200"/>
        <w:rPr>
          <w:rFonts w:hint="eastAsia"/>
        </w:rPr>
      </w:pPr>
      <w:r>
        <w:rPr>
          <w:rFonts w:hint="eastAsia" w:ascii="仿宋_GB2312" w:hAnsi="仿宋_GB2312" w:eastAsia="仿宋_GB2312" w:cs="仿宋_GB2312"/>
          <w:sz w:val="32"/>
          <w:szCs w:val="32"/>
        </w:rPr>
        <w:t>稀土产业发展壮大离不开各级部门的引导和支持。一是制定长期稳定的稀土产业惠企政策，激发企业创新活力，促进产业升级和经济高质量发展。二是加强各类要素保障，提供必要资金支持，鼓励企业创新和扩大生产。为产业发展提供必要的空间和环境支撑。</w:t>
      </w:r>
    </w:p>
    <w:p w14:paraId="4B155311">
      <w:pPr>
        <w:rPr>
          <w:rFonts w:hint="eastAsia" w:ascii="黑体" w:hAnsi="黑体" w:eastAsia="黑体" w:cs="黑体"/>
          <w:sz w:val="32"/>
          <w:szCs w:val="32"/>
        </w:rPr>
      </w:pPr>
      <w:r>
        <w:rPr>
          <w:rFonts w:hint="eastAsia" w:ascii="黑体" w:hAnsi="黑体" w:eastAsia="黑体" w:cs="黑体"/>
          <w:sz w:val="32"/>
          <w:szCs w:val="32"/>
        </w:rPr>
        <w:t>四、原料进口需求</w:t>
      </w:r>
    </w:p>
    <w:p w14:paraId="6313A15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由中国稀土集团牵头、中稀天马参与起草的首项国家标准《钕铁硼焙烧再生原料》（GB/T 45651-2025）正式获得国家市场监督管理总局、国家标准化管理委员会批准发布，将于2025年11月1日起实施。该标准的发布，有效规范了产品的化学成分等指标和参数，为稀土循环利用产业提供了来自国家层面的标准和依据，为产品的流通贸易与合规进口打开窗口。</w:t>
      </w:r>
    </w:p>
    <w:p w14:paraId="3FE66AF8">
      <w:pPr>
        <w:pStyle w:val="5"/>
        <w:spacing w:line="560" w:lineRule="exact"/>
        <w:ind w:firstLine="640"/>
      </w:pPr>
      <w:r>
        <w:rPr>
          <w:rFonts w:hint="eastAsia" w:ascii="仿宋_GB2312" w:hAnsi="仿宋_GB2312" w:eastAsia="仿宋_GB2312" w:cs="仿宋_GB2312"/>
          <w:sz w:val="32"/>
          <w:szCs w:val="32"/>
        </w:rPr>
        <w:t>目前，国外稀土二次资源回收产业尚未成规模，对国内稀土二次资源综合利用企业来说是一块巨大的待开发市场，对于保障国内稀土产业链的稳定供应也具有重要意义。</w:t>
      </w:r>
    </w:p>
    <w:p w14:paraId="06B61406">
      <w:pPr>
        <w:rPr>
          <w:rFonts w:hint="eastAsia" w:ascii="黑体" w:hAnsi="黑体" w:eastAsia="黑体" w:cs="黑体"/>
          <w:sz w:val="32"/>
          <w:szCs w:val="32"/>
        </w:rPr>
      </w:pPr>
      <w:r>
        <w:rPr>
          <w:rFonts w:hint="eastAsia" w:ascii="黑体" w:hAnsi="黑体" w:eastAsia="黑体" w:cs="黑体"/>
          <w:sz w:val="32"/>
          <w:szCs w:val="32"/>
        </w:rPr>
        <w:t>五、产学研合作需求</w:t>
      </w:r>
    </w:p>
    <w:p w14:paraId="46ABAFB1">
      <w:pPr>
        <w:widowControl/>
        <w:jc w:val="left"/>
      </w:pPr>
      <w:r>
        <w:rPr>
          <w:rFonts w:hint="eastAsia" w:ascii="仿宋_GB2312" w:hAnsi="仿宋_GB2312" w:eastAsia="仿宋_GB2312" w:cs="仿宋_GB2312"/>
          <w:sz w:val="32"/>
          <w:szCs w:val="32"/>
        </w:rPr>
        <w:t>公司高度重视研发创新，连续多年研发投入过亿元，目前在建的城市矿产科创中心项目，致力于打造成为全国稀土循环经济领域产学研基地。项目聚焦稀土新材料领域的研究与开发，稀土二次资源绿色高值化再生利用、超高纯稀土高效分离提纯等“卡脖子”问题，培育新质生产力，不断提升公司核心竞争力，现寻求与国内高校、科研院所等开展稀土综合利用相关领域的产学研合作，共同推动稀土资源的高效利用与产业发展，为我国绿色稀土产业和循环经济产业生态发展贡献力量。</w:t>
      </w:r>
    </w:p>
    <w:p w14:paraId="64802D97">
      <w:pPr>
        <w:pStyle w:val="5"/>
        <w:spacing w:line="560" w:lineRule="exact"/>
        <w:rPr>
          <w:rFonts w:hint="eastAsia"/>
        </w:rPr>
      </w:pPr>
    </w:p>
    <w:p w14:paraId="7D063D3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B31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700" w:rightChars="700"/>
    </w:pPr>
  </w:style>
  <w:style w:type="paragraph" w:customStyle="1" w:styleId="5">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2025-09-15T06:46:42Z</dcterms:created>
  <dc:creator>DELL</dc:creator>
  <cp:lastModifiedBy>DELL</cp:lastModifiedBy>
  <dcterms:modified xsi:type="dcterms:W3CDTF">2025-09-15T06:47:16Z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AE0E9B94F41D4760B9EE75C0E15D2279_12</vt:lpwstr>
  </property>
</Properties>
</file>