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eastAsia="黑体" w:cs="Times New Roman"/>
          <w:color w:val="auto"/>
          <w:sz w:val="32"/>
          <w:szCs w:val="32"/>
          <w:highlight w:val="none"/>
        </w:rPr>
      </w:pPr>
      <w:bookmarkStart w:id="0" w:name="_GoBack"/>
      <w:bookmarkEnd w:id="0"/>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 xml:space="preserve">-1 </w:t>
      </w:r>
    </w:p>
    <w:p>
      <w:pPr>
        <w:spacing w:line="360" w:lineRule="auto"/>
        <w:rPr>
          <w:rFonts w:hint="default" w:ascii="Times New Roman" w:hAnsi="Times New Roman" w:cs="Times New Roman"/>
          <w:sz w:val="30"/>
          <w:highlight w:val="none"/>
        </w:rPr>
      </w:pPr>
      <w:r>
        <w:rPr>
          <w:rFonts w:hint="default" w:ascii="Times New Roman" w:hAnsi="Times New Roman" w:cs="Times New Roman"/>
          <w:sz w:val="30"/>
          <w:highlight w:val="none"/>
        </w:rPr>
        <w:t xml:space="preserve">                                       </w:t>
      </w:r>
    </w:p>
    <w:p>
      <w:pPr>
        <w:spacing w:line="360" w:lineRule="auto"/>
        <w:rPr>
          <w:rFonts w:hint="default" w:ascii="Times New Roman" w:hAnsi="Times New Roman" w:cs="Times New Roman"/>
          <w:sz w:val="30"/>
          <w:highlight w:val="none"/>
        </w:rPr>
      </w:pPr>
    </w:p>
    <w:p>
      <w:pPr>
        <w:spacing w:line="360" w:lineRule="auto"/>
        <w:rPr>
          <w:rFonts w:hint="default" w:ascii="Times New Roman" w:hAnsi="Times New Roman" w:cs="Times New Roman"/>
          <w:sz w:val="28"/>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绿色工厂自评价报告</w:t>
      </w: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cs="Times New Roman"/>
          <w:b/>
          <w:sz w:val="32"/>
          <w:szCs w:val="32"/>
          <w:highlight w:val="none"/>
        </w:rPr>
      </w:pPr>
    </w:p>
    <w:p>
      <w:pPr>
        <w:spacing w:line="360" w:lineRule="auto"/>
        <w:rPr>
          <w:rFonts w:hint="default" w:ascii="Times New Roman" w:hAnsi="Times New Roman" w:eastAsia="仿宋_GB2312" w:cs="Times New Roman"/>
          <w:b/>
          <w:sz w:val="32"/>
          <w:szCs w:val="32"/>
          <w:highlight w:val="none"/>
        </w:rPr>
      </w:pPr>
    </w:p>
    <w:p>
      <w:pPr>
        <w:spacing w:line="360" w:lineRule="auto"/>
        <w:ind w:firstLine="1920" w:firstLineChars="600"/>
        <w:rPr>
          <w:rFonts w:hint="default" w:ascii="Times New Roman" w:hAnsi="Times New Roman" w:eastAsia="仿宋" w:cs="Times New Roman"/>
          <w:sz w:val="32"/>
          <w:szCs w:val="32"/>
          <w:highlight w:val="none"/>
          <w:u w:val="single"/>
        </w:rPr>
      </w:pPr>
      <w:r>
        <w:rPr>
          <w:rFonts w:hint="default" w:ascii="Times New Roman" w:hAnsi="Times New Roman" w:eastAsia="仿宋" w:cs="Times New Roman"/>
          <w:sz w:val="32"/>
          <w:szCs w:val="32"/>
          <w:highlight w:val="none"/>
        </w:rPr>
        <w:t>申报单位：</w:t>
      </w:r>
      <w:r>
        <w:rPr>
          <w:rFonts w:hint="default" w:ascii="Times New Roman" w:hAnsi="Times New Roman" w:eastAsia="仿宋" w:cs="Times New Roman"/>
          <w:sz w:val="32"/>
          <w:szCs w:val="32"/>
          <w:highlight w:val="none"/>
          <w:u w:val="single"/>
        </w:rPr>
        <w:t xml:space="preserve">                          </w:t>
      </w:r>
    </w:p>
    <w:p>
      <w:pPr>
        <w:spacing w:line="360" w:lineRule="auto"/>
        <w:ind w:firstLine="1920" w:firstLineChars="600"/>
        <w:rPr>
          <w:rFonts w:hint="default" w:ascii="Times New Roman" w:hAnsi="Times New Roman" w:eastAsia="仿宋" w:cs="Times New Roman"/>
          <w:sz w:val="32"/>
          <w:szCs w:val="32"/>
          <w:highlight w:val="none"/>
          <w:u w:val="single"/>
        </w:rPr>
      </w:pPr>
    </w:p>
    <w:p>
      <w:pPr>
        <w:spacing w:line="360" w:lineRule="auto"/>
        <w:ind w:firstLine="1920" w:firstLineChars="6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所在省市</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u w:val="single"/>
        </w:rPr>
        <w:t xml:space="preserve">                          </w:t>
      </w:r>
    </w:p>
    <w:p>
      <w:pPr>
        <w:spacing w:line="360" w:lineRule="auto"/>
        <w:ind w:firstLine="1920" w:firstLineChars="600"/>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rPr>
          <w:rFonts w:hint="default" w:ascii="Times New Roman" w:hAnsi="Times New Roman" w:eastAsia="仿宋" w:cs="Times New Roman"/>
          <w:sz w:val="32"/>
          <w:szCs w:val="32"/>
          <w:highlight w:val="none"/>
        </w:rPr>
      </w:pPr>
    </w:p>
    <w:p>
      <w:pPr>
        <w:spacing w:line="360" w:lineRule="auto"/>
        <w:jc w:val="center"/>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工业和信息化部制</w:t>
      </w:r>
    </w:p>
    <w:p>
      <w:pPr>
        <w:spacing w:line="360" w:lineRule="auto"/>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20  年    月    日</w:t>
      </w:r>
    </w:p>
    <w:p>
      <w:pPr>
        <w:spacing w:line="360" w:lineRule="auto"/>
        <w:rPr>
          <w:rFonts w:hint="default" w:ascii="Times New Roman" w:hAnsi="Times New Roman" w:eastAsia="仿宋_GB2312" w:cs="Times New Roman"/>
          <w:b/>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jc w:val="center"/>
        <w:rPr>
          <w:rFonts w:hint="default" w:ascii="Times New Roman" w:hAnsi="Times New Roman" w:eastAsia="黑体" w:cs="Times New Roman"/>
          <w:sz w:val="36"/>
          <w:szCs w:val="36"/>
          <w:highlight w:val="none"/>
        </w:rPr>
      </w:pPr>
    </w:p>
    <w:p>
      <w:pPr>
        <w:spacing w:line="360" w:lineRule="auto"/>
        <w:jc w:val="center"/>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填 写 说 明</w:t>
      </w:r>
    </w:p>
    <w:p>
      <w:pPr>
        <w:spacing w:line="360" w:lineRule="auto"/>
        <w:rPr>
          <w:rFonts w:hint="default" w:ascii="Times New Roman" w:hAnsi="Times New Roman" w:eastAsia="仿宋_GB2312" w:cs="Times New Roman"/>
          <w:b/>
          <w:sz w:val="36"/>
          <w:szCs w:val="36"/>
          <w:highlight w:val="none"/>
        </w:rPr>
      </w:pP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一、申请企业应当准确、如实填报。</w:t>
      </w: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二、所属行业请依据GB/T 4754-2017《国民经济行业分类》填写；单位性质依据营业执照中的类型填写。</w:t>
      </w:r>
    </w:p>
    <w:p>
      <w:pPr>
        <w:tabs>
          <w:tab w:val="left" w:pos="1152"/>
        </w:tabs>
        <w:spacing w:line="580" w:lineRule="exact"/>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三、有关项目页面不够时，可加附页。</w:t>
      </w:r>
    </w:p>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ind w:left="0" w:leftChars="0" w:right="0" w:rightChars="0" w:firstLine="0" w:firstLineChars="0"/>
        <w:jc w:val="center"/>
        <w:textAlignment w:val="auto"/>
        <w:outlineLvl w:val="9"/>
        <w:rPr>
          <w:rFonts w:hint="default" w:ascii="Times New Roman" w:hAnsi="Times New Roman" w:eastAsia="黑体" w:cs="Times New Roman"/>
          <w:sz w:val="32"/>
          <w:szCs w:val="32"/>
          <w:highlight w:val="none"/>
        </w:rPr>
      </w:pPr>
      <w:r>
        <w:rPr>
          <w:rFonts w:hint="default" w:ascii="Times New Roman" w:hAnsi="Times New Roman" w:eastAsia="仿宋" w:cs="Times New Roman"/>
          <w:sz w:val="32"/>
          <w:szCs w:val="32"/>
          <w:highlight w:val="none"/>
        </w:rPr>
        <w:br w:type="page"/>
      </w:r>
      <w:r>
        <w:rPr>
          <w:rFonts w:hint="default" w:ascii="Times New Roman" w:hAnsi="Times New Roman" w:eastAsia="黑体" w:cs="Times New Roman"/>
          <w:sz w:val="32"/>
          <w:szCs w:val="32"/>
          <w:highlight w:val="none"/>
        </w:rPr>
        <w:t>基本信息表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2978"/>
        <w:gridCol w:w="1536"/>
        <w:gridCol w:w="2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通讯</w:t>
            </w:r>
            <w:r>
              <w:rPr>
                <w:rFonts w:hint="default" w:ascii="Times New Roman" w:hAnsi="Times New Roman" w:eastAsia="仿宋" w:cs="Times New Roman"/>
                <w:color w:val="000000"/>
                <w:kern w:val="0"/>
                <w:sz w:val="24"/>
                <w:highlight w:val="none"/>
              </w:rPr>
              <w:t>地址</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所属行业</w:t>
            </w:r>
          </w:p>
        </w:tc>
        <w:tc>
          <w:tcPr>
            <w:tcW w:w="2978"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单位性质</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统一社会</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信用代码</w:t>
            </w:r>
          </w:p>
        </w:tc>
        <w:tc>
          <w:tcPr>
            <w:tcW w:w="2978"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法定代表人</w:t>
            </w:r>
          </w:p>
        </w:tc>
        <w:tc>
          <w:tcPr>
            <w:tcW w:w="2173"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注册机关</w:t>
            </w:r>
          </w:p>
        </w:tc>
        <w:tc>
          <w:tcPr>
            <w:tcW w:w="2978" w:type="dxa"/>
            <w:tcBorders>
              <w:tl2br w:val="nil"/>
              <w:tr2bl w:val="nil"/>
            </w:tcBorders>
            <w:noWrap w:val="0"/>
            <w:vAlign w:val="center"/>
          </w:tcPr>
          <w:p>
            <w:pPr>
              <w:jc w:val="left"/>
              <w:rPr>
                <w:rFonts w:hint="default" w:ascii="Times New Roman" w:hAnsi="Times New Roman" w:eastAsia="仿宋" w:cs="Times New Roman"/>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注册资本</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成立日期</w:t>
            </w:r>
          </w:p>
        </w:tc>
        <w:tc>
          <w:tcPr>
            <w:tcW w:w="2978"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有效期</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联系部门</w:t>
            </w:r>
          </w:p>
        </w:tc>
        <w:tc>
          <w:tcPr>
            <w:tcW w:w="2978"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联系电话</w:t>
            </w:r>
          </w:p>
        </w:tc>
        <w:tc>
          <w:tcPr>
            <w:tcW w:w="2978"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highlight w:val="none"/>
              </w:rPr>
            </w:pPr>
          </w:p>
        </w:tc>
        <w:tc>
          <w:tcPr>
            <w:tcW w:w="1536"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173" w:type="dxa"/>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88"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工厂</w:t>
            </w:r>
            <w:r>
              <w:rPr>
                <w:rFonts w:hint="default" w:ascii="Times New Roman" w:hAnsi="Times New Roman" w:eastAsia="仿宋" w:cs="Times New Roman"/>
                <w:color w:val="000000"/>
                <w:kern w:val="0"/>
                <w:sz w:val="24"/>
                <w:highlight w:val="none"/>
              </w:rPr>
              <w:t>简介</w:t>
            </w:r>
          </w:p>
        </w:tc>
        <w:tc>
          <w:tcPr>
            <w:tcW w:w="6687" w:type="dxa"/>
            <w:gridSpan w:val="3"/>
            <w:tcBorders>
              <w:tl2br w:val="nil"/>
              <w:tr2bl w:val="nil"/>
            </w:tcBorders>
            <w:noWrap w:val="0"/>
            <w:vAlign w:val="top"/>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（至少应包含：企业</w:t>
            </w:r>
            <w:r>
              <w:rPr>
                <w:rFonts w:hint="default" w:ascii="Times New Roman" w:hAnsi="Times New Roman" w:eastAsia="仿宋" w:cs="Times New Roman"/>
                <w:color w:val="000000"/>
                <w:kern w:val="0"/>
                <w:sz w:val="24"/>
                <w:highlight w:val="none"/>
                <w:lang w:val="en-US" w:eastAsia="zh-CN"/>
              </w:rPr>
              <w:t>基本情况、经营状况、主要工艺</w:t>
            </w:r>
            <w:r>
              <w:rPr>
                <w:rFonts w:hint="default" w:ascii="Times New Roman" w:hAnsi="Times New Roman" w:eastAsia="仿宋" w:cs="Times New Roman"/>
                <w:color w:val="000000"/>
                <w:kern w:val="0"/>
                <w:sz w:val="24"/>
                <w:highlight w:val="none"/>
              </w:rPr>
              <w:t>、所获荣誉情况等</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500字以内</w:t>
            </w:r>
            <w:r>
              <w:rPr>
                <w:rFonts w:hint="default" w:ascii="Times New Roman" w:hAnsi="Times New Roman" w:eastAsia="仿宋" w:cs="Times New Roman"/>
                <w:color w:val="000000"/>
                <w:kern w:val="0"/>
                <w:sz w:val="24"/>
                <w:highlight w:val="none"/>
              </w:rPr>
              <w:t>）</w:t>
            </w:r>
          </w:p>
          <w:p>
            <w:pPr>
              <w:widowControl/>
              <w:rPr>
                <w:rFonts w:hint="default" w:ascii="Times New Roman" w:hAnsi="Times New Roman" w:eastAsia="仿宋" w:cs="Times New Roman"/>
                <w:color w:val="000000"/>
                <w:kern w:val="0"/>
                <w:sz w:val="24"/>
                <w:highlight w:val="none"/>
              </w:rPr>
            </w:pPr>
          </w:p>
          <w:p>
            <w:pPr>
              <w:widowControl/>
              <w:rPr>
                <w:rFonts w:hint="default" w:ascii="Times New Roman" w:hAnsi="Times New Roman" w:eastAsia="仿宋" w:cs="Times New Roman"/>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3"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绿色工厂创建经验及成效</w:t>
            </w:r>
          </w:p>
        </w:tc>
        <w:tc>
          <w:tcPr>
            <w:tcW w:w="6687" w:type="dxa"/>
            <w:gridSpan w:val="3"/>
            <w:tcBorders>
              <w:tl2br w:val="nil"/>
              <w:tr2bl w:val="nil"/>
            </w:tcBorders>
            <w:noWrap w:val="0"/>
            <w:vAlign w:val="center"/>
          </w:tcPr>
          <w:p>
            <w:pPr>
              <w:widowControl/>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（从</w:t>
            </w:r>
            <w:r>
              <w:rPr>
                <w:rFonts w:hint="default" w:ascii="Times New Roman" w:hAnsi="Times New Roman" w:eastAsia="仿宋" w:cs="Times New Roman"/>
                <w:color w:val="000000"/>
                <w:kern w:val="0"/>
                <w:sz w:val="24"/>
                <w:highlight w:val="none"/>
              </w:rPr>
              <w:t>用地集约化、</w:t>
            </w:r>
            <w:r>
              <w:rPr>
                <w:rFonts w:hint="default" w:ascii="Times New Roman" w:hAnsi="Times New Roman" w:eastAsia="仿宋" w:cs="Times New Roman"/>
                <w:color w:val="000000"/>
                <w:kern w:val="0"/>
                <w:sz w:val="24"/>
                <w:highlight w:val="none"/>
                <w:lang w:val="en-US" w:eastAsia="zh-CN"/>
              </w:rPr>
              <w:t>原料无害化、</w:t>
            </w:r>
            <w:r>
              <w:rPr>
                <w:rFonts w:hint="default" w:ascii="Times New Roman" w:hAnsi="Times New Roman" w:eastAsia="仿宋" w:cs="Times New Roman"/>
                <w:color w:val="000000"/>
                <w:kern w:val="0"/>
                <w:sz w:val="24"/>
                <w:highlight w:val="none"/>
              </w:rPr>
              <w:t>生产洁净化、废物资源化、能源低碳化</w:t>
            </w:r>
            <w:r>
              <w:rPr>
                <w:rFonts w:hint="default" w:ascii="Times New Roman" w:hAnsi="Times New Roman" w:eastAsia="仿宋" w:cs="Times New Roman"/>
                <w:color w:val="000000"/>
                <w:kern w:val="0"/>
                <w:sz w:val="24"/>
                <w:highlight w:val="none"/>
                <w:lang w:val="en-US" w:eastAsia="zh-CN"/>
              </w:rPr>
              <w:t>等方面概述工厂创建的经验和成效，800字以内）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6" w:hRule="atLeast"/>
          <w:jc w:val="center"/>
        </w:trPr>
        <w:tc>
          <w:tcPr>
            <w:tcW w:w="8332" w:type="dxa"/>
            <w:gridSpan w:val="4"/>
            <w:tcBorders>
              <w:tl2br w:val="nil"/>
              <w:tr2bl w:val="nil"/>
            </w:tcBorders>
            <w:noWrap w:val="0"/>
            <w:vAlign w:val="center"/>
          </w:tcPr>
          <w:p>
            <w:pPr>
              <w:widowControl/>
              <w:ind w:firstLine="0" w:firstLineChars="0"/>
              <w:rPr>
                <w:rFonts w:hint="default" w:ascii="Times New Roman" w:hAnsi="Times New Roman" w:eastAsia="仿宋" w:cs="Times New Roman"/>
                <w:kern w:val="0"/>
                <w:sz w:val="24"/>
                <w:highlight w:val="none"/>
              </w:rPr>
            </w:pPr>
            <w:r>
              <w:rPr>
                <w:rFonts w:hint="default" w:ascii="Times New Roman" w:hAnsi="Times New Roman" w:eastAsia="仿宋" w:cs="Times New Roman"/>
                <w:b/>
                <w:kern w:val="0"/>
                <w:sz w:val="24"/>
                <w:highlight w:val="none"/>
              </w:rPr>
              <w:t>材料真实性承诺:</w:t>
            </w:r>
          </w:p>
          <w:p>
            <w:pPr>
              <w:widowControl/>
              <w:ind w:firstLine="496" w:firstLineChars="207"/>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我单位郑重承诺：</w:t>
            </w:r>
            <w:r>
              <w:rPr>
                <w:rFonts w:hint="default" w:ascii="Times New Roman" w:hAnsi="Times New Roman" w:eastAsia="仿宋" w:cs="Times New Roman"/>
                <w:kern w:val="0"/>
                <w:sz w:val="24"/>
                <w:highlight w:val="none"/>
                <w:lang w:val="en-US" w:eastAsia="zh-CN"/>
              </w:rPr>
              <w:t>本工厂近三年未</w:t>
            </w:r>
            <w:r>
              <w:rPr>
                <w:rFonts w:hint="default" w:ascii="Times New Roman" w:hAnsi="Times New Roman" w:eastAsia="仿宋" w:cs="Times New Roman"/>
                <w:kern w:val="0"/>
                <w:sz w:val="24"/>
                <w:highlight w:val="none"/>
              </w:rPr>
              <w:t>发生安全（含网络安全、数据安全）、质量、环境污染等事故以及偷漏税等违法违规行为</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未</w:t>
            </w:r>
            <w:r>
              <w:rPr>
                <w:rFonts w:hint="default" w:ascii="Times New Roman" w:hAnsi="Times New Roman" w:eastAsia="仿宋" w:cs="Times New Roman"/>
                <w:kern w:val="0"/>
                <w:sz w:val="24"/>
                <w:highlight w:val="none"/>
              </w:rPr>
              <w:t>在国务院及有关部门相关督查工作中被发现存在严重问题</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不在</w:t>
            </w:r>
            <w:r>
              <w:rPr>
                <w:rFonts w:hint="default" w:ascii="Times New Roman" w:hAnsi="Times New Roman" w:eastAsia="仿宋" w:cs="Times New Roman"/>
                <w:kern w:val="0"/>
                <w:sz w:val="24"/>
                <w:highlight w:val="none"/>
              </w:rPr>
              <w:t>工业节能监察整改名单</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lang w:val="en-US" w:eastAsia="zh-CN"/>
              </w:rPr>
              <w:t>且不属于</w:t>
            </w:r>
            <w:r>
              <w:rPr>
                <w:rFonts w:hint="default" w:ascii="Times New Roman" w:hAnsi="Times New Roman" w:eastAsia="仿宋" w:cs="Times New Roman"/>
                <w:kern w:val="0"/>
                <w:sz w:val="24"/>
                <w:highlight w:val="none"/>
              </w:rPr>
              <w:t>失信被执行人</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本次申报绿色工厂所提交的相关数据和信息均真实、有效，愿接受并积极配合主管部门的监督抽查和核验。如有违反，愿承担由此产生的相应责任。</w:t>
            </w:r>
          </w:p>
          <w:p>
            <w:pPr>
              <w:widowControl/>
              <w:ind w:firstLine="496" w:firstLineChars="207"/>
              <w:rPr>
                <w:rFonts w:hint="default" w:ascii="Times New Roman" w:hAnsi="Times New Roman" w:eastAsia="仿宋" w:cs="Times New Roman"/>
                <w:kern w:val="0"/>
                <w:sz w:val="24"/>
                <w:highlight w:val="none"/>
              </w:rPr>
            </w:pPr>
          </w:p>
          <w:p>
            <w:pPr>
              <w:widowControl/>
              <w:wordWrap w:val="0"/>
              <w:jc w:val="center"/>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 xml:space="preserve">法人或单位负责人签字：          </w:t>
            </w:r>
          </w:p>
          <w:p>
            <w:pPr>
              <w:widowControl/>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w:t>
            </w:r>
            <w:r>
              <w:rPr>
                <w:rFonts w:hint="default" w:ascii="Times New Roman" w:hAnsi="Times New Roman" w:eastAsia="仿宋" w:cs="Times New Roman"/>
                <w:b/>
                <w:kern w:val="0"/>
                <w:sz w:val="24"/>
                <w:highlight w:val="none"/>
                <w:lang w:eastAsia="zh-CN"/>
              </w:rPr>
              <w:t>公</w:t>
            </w:r>
            <w:r>
              <w:rPr>
                <w:rFonts w:hint="default" w:ascii="Times New Roman" w:hAnsi="Times New Roman" w:eastAsia="仿宋" w:cs="Times New Roman"/>
                <w:b/>
                <w:kern w:val="0"/>
                <w:sz w:val="24"/>
                <w:highlight w:val="none"/>
              </w:rPr>
              <w:t>章）</w:t>
            </w:r>
          </w:p>
          <w:p>
            <w:pPr>
              <w:widowControl/>
              <w:wordWrap w:val="0"/>
              <w:jc w:val="center"/>
              <w:rPr>
                <w:rFonts w:hint="default" w:ascii="Times New Roman" w:hAnsi="Times New Roman" w:eastAsia="仿宋" w:cs="Times New Roman"/>
                <w:b/>
                <w:kern w:val="0"/>
                <w:sz w:val="24"/>
                <w:highlight w:val="none"/>
              </w:rPr>
            </w:pPr>
            <w:r>
              <w:rPr>
                <w:rFonts w:hint="default" w:ascii="Times New Roman" w:hAnsi="Times New Roman" w:eastAsia="仿宋" w:cs="Times New Roman"/>
                <w:b/>
                <w:kern w:val="0"/>
                <w:sz w:val="24"/>
                <w:highlight w:val="none"/>
                <w:lang w:val="en-US" w:eastAsia="zh-CN"/>
              </w:rPr>
              <w:t xml:space="preserve">                                            </w:t>
            </w:r>
            <w:r>
              <w:rPr>
                <w:rFonts w:hint="default" w:ascii="Times New Roman" w:hAnsi="Times New Roman" w:eastAsia="仿宋" w:cs="Times New Roman"/>
                <w:b/>
                <w:kern w:val="0"/>
                <w:sz w:val="24"/>
                <w:highlight w:val="none"/>
              </w:rPr>
              <w:t xml:space="preserve">日期：           </w:t>
            </w:r>
          </w:p>
          <w:p>
            <w:pPr>
              <w:widowControl/>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kern w:val="0"/>
                <w:sz w:val="24"/>
                <w:highlight w:val="none"/>
              </w:rPr>
              <w:t xml:space="preserve">         </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br w:type="page"/>
      </w:r>
      <w:r>
        <w:rPr>
          <w:rFonts w:hint="default" w:ascii="Times New Roman" w:hAnsi="Times New Roman" w:eastAsia="黑体" w:cs="Times New Roman"/>
          <w:bCs/>
          <w:sz w:val="32"/>
          <w:szCs w:val="32"/>
          <w:highlight w:val="none"/>
        </w:rPr>
        <w:t>一、工厂基本情况</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概述</w:t>
      </w:r>
      <w:r>
        <w:rPr>
          <w:rFonts w:hint="default" w:ascii="Times New Roman" w:hAnsi="Times New Roman" w:eastAsia="仿宋" w:cs="Times New Roman"/>
          <w:color w:val="000000"/>
          <w:kern w:val="0"/>
          <w:sz w:val="32"/>
          <w:szCs w:val="32"/>
          <w:highlight w:val="none"/>
          <w:lang w:val="en-US" w:eastAsia="zh-CN"/>
        </w:rPr>
        <w:t>工厂</w:t>
      </w:r>
      <w:r>
        <w:rPr>
          <w:rFonts w:hint="default" w:ascii="Times New Roman" w:hAnsi="Times New Roman" w:eastAsia="仿宋" w:cs="Times New Roman"/>
          <w:color w:val="000000"/>
          <w:kern w:val="0"/>
          <w:sz w:val="32"/>
          <w:szCs w:val="32"/>
          <w:highlight w:val="none"/>
        </w:rPr>
        <w:t>的基本信息、发展现状、工艺产品</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生产经营状况以及在绿色发展方面开展的重点工作及取得的成绩等。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二、绿色工厂创建情况</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对照《绿色工厂评价通则》（GB/T 36132-2018）</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符合“绿色工厂行业标准清单”范围的工厂，</w:t>
      </w:r>
      <w:r>
        <w:rPr>
          <w:rFonts w:hint="default" w:ascii="Times New Roman" w:hAnsi="Times New Roman" w:eastAsia="仿宋" w:cs="Times New Roman"/>
          <w:color w:val="000000"/>
          <w:kern w:val="0"/>
          <w:sz w:val="32"/>
          <w:szCs w:val="32"/>
          <w:highlight w:val="none"/>
          <w:lang w:val="en-US" w:eastAsia="zh-CN"/>
        </w:rPr>
        <w:t>对照</w:t>
      </w:r>
      <w:r>
        <w:rPr>
          <w:rFonts w:hint="default" w:ascii="Times New Roman" w:hAnsi="Times New Roman" w:eastAsia="仿宋" w:cs="Times New Roman"/>
          <w:color w:val="000000"/>
          <w:kern w:val="0"/>
          <w:sz w:val="32"/>
          <w:szCs w:val="32"/>
          <w:highlight w:val="none"/>
        </w:rPr>
        <w:t>清单中的标准要求</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对工厂</w:t>
      </w:r>
      <w:r>
        <w:rPr>
          <w:rFonts w:hint="default" w:ascii="Times New Roman" w:hAnsi="Times New Roman" w:eastAsia="仿宋" w:cs="Times New Roman"/>
          <w:color w:val="000000"/>
          <w:kern w:val="0"/>
          <w:sz w:val="32"/>
          <w:szCs w:val="32"/>
          <w:highlight w:val="none"/>
          <w:lang w:val="en-US" w:eastAsia="zh-CN"/>
        </w:rPr>
        <w:t>基本要求的符合性以及</w:t>
      </w:r>
      <w:r>
        <w:rPr>
          <w:rFonts w:hint="default" w:ascii="Times New Roman" w:hAnsi="Times New Roman" w:eastAsia="仿宋" w:cs="Times New Roman"/>
          <w:color w:val="000000"/>
          <w:kern w:val="0"/>
          <w:sz w:val="32"/>
          <w:szCs w:val="32"/>
          <w:highlight w:val="none"/>
        </w:rPr>
        <w:t>基础设施、管理体系、能源资源投入、产品、环境排放</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绩效指标</w:t>
      </w:r>
      <w:r>
        <w:rPr>
          <w:rFonts w:hint="default" w:ascii="Times New Roman" w:hAnsi="Times New Roman" w:eastAsia="仿宋" w:cs="Times New Roman"/>
          <w:color w:val="000000"/>
          <w:kern w:val="0"/>
          <w:sz w:val="32"/>
          <w:szCs w:val="32"/>
          <w:highlight w:val="none"/>
        </w:rPr>
        <w:t xml:space="preserve">等内容进行情况描述。 </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1.基本要求的符合性。主要描述附表1.1中各项要求的符合情况。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2.</w:t>
      </w:r>
      <w:r>
        <w:rPr>
          <w:rFonts w:hint="default" w:ascii="Times New Roman" w:hAnsi="Times New Roman" w:eastAsia="仿宋" w:cs="Times New Roman"/>
          <w:color w:val="000000"/>
          <w:kern w:val="0"/>
          <w:sz w:val="32"/>
          <w:szCs w:val="32"/>
          <w:highlight w:val="none"/>
        </w:rPr>
        <w:t>基础设施情况。主要描述工厂的建筑、照明</w:t>
      </w:r>
      <w:r>
        <w:rPr>
          <w:rFonts w:hint="default" w:ascii="Times New Roman" w:hAnsi="Times New Roman" w:eastAsia="仿宋" w:cs="Times New Roman"/>
          <w:color w:val="000000"/>
          <w:kern w:val="0"/>
          <w:sz w:val="32"/>
          <w:szCs w:val="32"/>
          <w:highlight w:val="none"/>
          <w:lang w:eastAsia="zh-CN"/>
        </w:rPr>
        <w:t>、设备设施（包括专用设备、通用设备、计量设备及污染物处理设备设施等）</w:t>
      </w:r>
      <w:r>
        <w:rPr>
          <w:rFonts w:hint="default" w:ascii="Times New Roman" w:hAnsi="Times New Roman" w:eastAsia="仿宋" w:cs="Times New Roman"/>
          <w:color w:val="000000"/>
          <w:kern w:val="0"/>
          <w:sz w:val="32"/>
          <w:szCs w:val="32"/>
          <w:highlight w:val="none"/>
        </w:rPr>
        <w:t>情况</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已采用的先进绿色建筑技术说明、实施情况</w:t>
      </w:r>
      <w:r>
        <w:rPr>
          <w:rFonts w:hint="default" w:ascii="Times New Roman" w:hAnsi="Times New Roman" w:eastAsia="仿宋" w:cs="Times New Roman"/>
          <w:color w:val="000000"/>
          <w:kern w:val="0"/>
          <w:sz w:val="32"/>
          <w:szCs w:val="32"/>
          <w:highlight w:val="none"/>
        </w:rPr>
        <w:t>和现场照片，以及相关标准落实情况。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3.</w:t>
      </w:r>
      <w:r>
        <w:rPr>
          <w:rFonts w:hint="default" w:ascii="Times New Roman" w:hAnsi="Times New Roman" w:eastAsia="仿宋" w:cs="Times New Roman"/>
          <w:color w:val="000000"/>
          <w:kern w:val="0"/>
          <w:sz w:val="32"/>
          <w:szCs w:val="32"/>
          <w:highlight w:val="none"/>
        </w:rPr>
        <w:t>管理体系情况。主要描述工厂管理体系建设情况。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4.</w:t>
      </w:r>
      <w:r>
        <w:rPr>
          <w:rFonts w:hint="default" w:ascii="Times New Roman" w:hAnsi="Times New Roman" w:eastAsia="仿宋" w:cs="Times New Roman"/>
          <w:color w:val="000000"/>
          <w:kern w:val="0"/>
          <w:sz w:val="32"/>
          <w:szCs w:val="32"/>
          <w:highlight w:val="none"/>
        </w:rPr>
        <w:t>能源资源投入情况。主要描述能源投入、资源投入、采购等方面的现状，</w:t>
      </w:r>
      <w:r>
        <w:rPr>
          <w:rFonts w:hint="default" w:ascii="Times New Roman" w:hAnsi="Times New Roman" w:eastAsia="仿宋" w:cs="Times New Roman"/>
          <w:color w:val="000000"/>
          <w:kern w:val="0"/>
          <w:sz w:val="32"/>
          <w:szCs w:val="32"/>
          <w:highlight w:val="none"/>
          <w:lang w:val="en-US" w:eastAsia="zh-CN"/>
        </w:rPr>
        <w:t>已采用的</w:t>
      </w:r>
      <w:r>
        <w:rPr>
          <w:rFonts w:hint="default" w:ascii="Times New Roman" w:hAnsi="Times New Roman" w:eastAsia="仿宋" w:cs="Times New Roman"/>
          <w:color w:val="000000"/>
          <w:kern w:val="0"/>
          <w:sz w:val="32"/>
          <w:szCs w:val="32"/>
          <w:highlight w:val="none"/>
        </w:rPr>
        <w:t>余热利用、分布式供能、自然冷源、水循环利用</w:t>
      </w:r>
      <w:r>
        <w:rPr>
          <w:rFonts w:hint="default" w:ascii="Times New Roman" w:hAnsi="Times New Roman" w:eastAsia="仿宋" w:cs="Times New Roman"/>
          <w:color w:val="000000"/>
          <w:kern w:val="0"/>
          <w:sz w:val="32"/>
          <w:szCs w:val="32"/>
          <w:highlight w:val="none"/>
          <w:lang w:val="en-US" w:eastAsia="zh-CN"/>
        </w:rPr>
        <w:t>等节能</w:t>
      </w:r>
      <w:r>
        <w:rPr>
          <w:rFonts w:hint="eastAsia" w:ascii="Times New Roman" w:hAnsi="Times New Roman" w:eastAsia="仿宋" w:cs="Times New Roman"/>
          <w:color w:val="000000"/>
          <w:kern w:val="0"/>
          <w:sz w:val="32"/>
          <w:szCs w:val="32"/>
          <w:highlight w:val="none"/>
          <w:lang w:val="en-US" w:eastAsia="zh-CN"/>
        </w:rPr>
        <w:t>、节水、</w:t>
      </w:r>
      <w:r>
        <w:rPr>
          <w:rFonts w:hint="default" w:ascii="Times New Roman" w:hAnsi="Times New Roman" w:eastAsia="仿宋" w:cs="Times New Roman"/>
          <w:color w:val="000000"/>
          <w:kern w:val="0"/>
          <w:sz w:val="32"/>
          <w:szCs w:val="32"/>
          <w:highlight w:val="none"/>
          <w:lang w:val="en-US" w:eastAsia="zh-CN"/>
        </w:rPr>
        <w:t>节材技术说明，</w:t>
      </w:r>
      <w:r>
        <w:rPr>
          <w:rFonts w:hint="default" w:ascii="Times New Roman" w:hAnsi="Times New Roman" w:eastAsia="仿宋" w:cs="Times New Roman"/>
          <w:color w:val="000000"/>
          <w:kern w:val="0"/>
          <w:sz w:val="32"/>
          <w:szCs w:val="32"/>
          <w:highlight w:val="none"/>
        </w:rPr>
        <w:t>实施情况和现场照片</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以及相关标准落实情况。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5.</w:t>
      </w:r>
      <w:r>
        <w:rPr>
          <w:rFonts w:hint="default" w:ascii="Times New Roman" w:hAnsi="Times New Roman" w:eastAsia="仿宋" w:cs="Times New Roman"/>
          <w:color w:val="000000"/>
          <w:kern w:val="0"/>
          <w:sz w:val="32"/>
          <w:szCs w:val="32"/>
          <w:highlight w:val="none"/>
        </w:rPr>
        <w:t>产品情况。主要描述产品的</w:t>
      </w:r>
      <w:r>
        <w:rPr>
          <w:rFonts w:hint="default" w:ascii="Times New Roman" w:hAnsi="Times New Roman" w:eastAsia="仿宋" w:cs="Times New Roman"/>
          <w:color w:val="000000"/>
          <w:kern w:val="0"/>
          <w:sz w:val="32"/>
          <w:szCs w:val="32"/>
          <w:highlight w:val="none"/>
          <w:lang w:eastAsia="zh-CN"/>
        </w:rPr>
        <w:t>生态</w:t>
      </w:r>
      <w:r>
        <w:rPr>
          <w:rFonts w:hint="default" w:ascii="Times New Roman" w:hAnsi="Times New Roman" w:eastAsia="仿宋" w:cs="Times New Roman"/>
          <w:color w:val="000000"/>
          <w:kern w:val="0"/>
          <w:sz w:val="32"/>
          <w:szCs w:val="32"/>
          <w:highlight w:val="none"/>
        </w:rPr>
        <w:t>设计、有害物质使用</w:t>
      </w:r>
      <w:r>
        <w:rPr>
          <w:rFonts w:hint="default" w:ascii="Times New Roman" w:hAnsi="Times New Roman" w:eastAsia="仿宋" w:cs="Times New Roman"/>
          <w:color w:val="000000"/>
          <w:kern w:val="0"/>
          <w:sz w:val="32"/>
          <w:szCs w:val="32"/>
          <w:highlight w:val="none"/>
          <w:lang w:eastAsia="zh-CN"/>
        </w:rPr>
        <w:t>、节能、减碳以及可回收利用</w:t>
      </w:r>
      <w:r>
        <w:rPr>
          <w:rFonts w:hint="default" w:ascii="Times New Roman" w:hAnsi="Times New Roman" w:eastAsia="仿宋" w:cs="Times New Roman"/>
          <w:color w:val="000000"/>
          <w:kern w:val="0"/>
          <w:sz w:val="32"/>
          <w:szCs w:val="32"/>
          <w:highlight w:val="none"/>
        </w:rPr>
        <w:t>等情况，</w:t>
      </w:r>
      <w:r>
        <w:rPr>
          <w:rFonts w:hint="default" w:ascii="Times New Roman" w:hAnsi="Times New Roman" w:eastAsia="仿宋" w:cs="Times New Roman"/>
          <w:color w:val="000000"/>
          <w:kern w:val="0"/>
          <w:sz w:val="32"/>
          <w:szCs w:val="32"/>
          <w:highlight w:val="none"/>
          <w:lang w:val="en-US" w:eastAsia="zh-CN"/>
        </w:rPr>
        <w:t>已采用的绿色设计工具、数据库情况和具体绿色设计技术说明和照片，</w:t>
      </w:r>
      <w:r>
        <w:rPr>
          <w:rFonts w:hint="default" w:ascii="Times New Roman" w:hAnsi="Times New Roman" w:eastAsia="仿宋" w:cs="Times New Roman"/>
          <w:color w:val="000000"/>
          <w:kern w:val="0"/>
          <w:sz w:val="32"/>
          <w:szCs w:val="32"/>
          <w:highlight w:val="none"/>
        </w:rPr>
        <w:t>以及相关标准落实情况。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6.</w:t>
      </w:r>
      <w:r>
        <w:rPr>
          <w:rFonts w:hint="default" w:ascii="Times New Roman" w:hAnsi="Times New Roman" w:eastAsia="仿宋" w:cs="Times New Roman"/>
          <w:color w:val="000000"/>
          <w:kern w:val="0"/>
          <w:sz w:val="32"/>
          <w:szCs w:val="32"/>
          <w:highlight w:val="none"/>
        </w:rPr>
        <w:t>环境排放情况。主要描述大气污染物、水体污染物、固体</w:t>
      </w:r>
      <w:r>
        <w:rPr>
          <w:rFonts w:hint="default" w:ascii="Times New Roman" w:hAnsi="Times New Roman" w:eastAsia="仿宋" w:cs="Times New Roman"/>
          <w:color w:val="000000"/>
          <w:kern w:val="0"/>
          <w:sz w:val="32"/>
          <w:szCs w:val="32"/>
          <w:highlight w:val="none"/>
          <w:lang w:eastAsia="zh-CN"/>
        </w:rPr>
        <w:t>废弃</w:t>
      </w:r>
      <w:r>
        <w:rPr>
          <w:rFonts w:hint="default" w:ascii="Times New Roman" w:hAnsi="Times New Roman" w:eastAsia="仿宋" w:cs="Times New Roman"/>
          <w:color w:val="000000"/>
          <w:kern w:val="0"/>
          <w:sz w:val="32"/>
          <w:szCs w:val="32"/>
          <w:highlight w:val="none"/>
        </w:rPr>
        <w:t>物、噪声、温室气体的排放及管理现状，</w:t>
      </w:r>
      <w:r>
        <w:rPr>
          <w:rFonts w:hint="default" w:ascii="Times New Roman" w:hAnsi="Times New Roman" w:eastAsia="仿宋" w:cs="Times New Roman"/>
          <w:color w:val="000000"/>
          <w:kern w:val="0"/>
          <w:sz w:val="32"/>
          <w:szCs w:val="32"/>
          <w:highlight w:val="none"/>
          <w:lang w:val="en-US" w:eastAsia="zh-CN"/>
        </w:rPr>
        <w:t>已采用的污染物减排技术说明、实施情况和现场照片，</w:t>
      </w:r>
      <w:r>
        <w:rPr>
          <w:rFonts w:hint="default" w:ascii="Times New Roman" w:hAnsi="Times New Roman" w:eastAsia="仿宋" w:cs="Times New Roman"/>
          <w:color w:val="000000"/>
          <w:kern w:val="0"/>
          <w:sz w:val="32"/>
          <w:szCs w:val="32"/>
          <w:highlight w:val="none"/>
        </w:rPr>
        <w:t>以及相关标准的落实情况。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lang w:val="en-US" w:eastAsia="zh-CN"/>
        </w:rPr>
        <w:t>7.绩效指标情况。主要描述绩效指标的现状，提供具体测算过程，</w:t>
      </w:r>
      <w:r>
        <w:rPr>
          <w:rFonts w:hint="default" w:ascii="Times New Roman" w:hAnsi="Times New Roman" w:eastAsia="仿宋" w:cs="Times New Roman"/>
          <w:color w:val="000000"/>
          <w:kern w:val="0"/>
          <w:sz w:val="32"/>
          <w:szCs w:val="32"/>
          <w:highlight w:val="none"/>
        </w:rPr>
        <w:t>包括使用的标准、计算边界、</w:t>
      </w:r>
      <w:r>
        <w:rPr>
          <w:rFonts w:hint="default" w:ascii="Times New Roman" w:hAnsi="Times New Roman" w:eastAsia="仿宋" w:cs="Times New Roman"/>
          <w:color w:val="000000"/>
          <w:kern w:val="0"/>
          <w:sz w:val="32"/>
          <w:szCs w:val="32"/>
          <w:highlight w:val="none"/>
          <w:lang w:val="en-US" w:eastAsia="zh-CN"/>
        </w:rPr>
        <w:t>使用的参数来源</w:t>
      </w:r>
      <w:r>
        <w:rPr>
          <w:rFonts w:hint="default" w:ascii="Times New Roman" w:hAnsi="Times New Roman" w:eastAsia="仿宋" w:cs="Times New Roman"/>
          <w:color w:val="000000"/>
          <w:kern w:val="0"/>
          <w:sz w:val="32"/>
          <w:szCs w:val="32"/>
          <w:highlight w:val="none"/>
        </w:rPr>
        <w:t>等</w:t>
      </w:r>
      <w:r>
        <w:rPr>
          <w:rFonts w:hint="default" w:ascii="Times New Roman" w:hAnsi="Times New Roman" w:eastAsia="仿宋" w:cs="Times New Roman"/>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三、下一步工作</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说明</w:t>
      </w:r>
      <w:r>
        <w:rPr>
          <w:rFonts w:hint="default" w:ascii="Times New Roman" w:hAnsi="Times New Roman" w:eastAsia="仿宋" w:cs="Times New Roman"/>
          <w:color w:val="000000"/>
          <w:kern w:val="0"/>
          <w:sz w:val="32"/>
          <w:szCs w:val="32"/>
          <w:highlight w:val="none"/>
          <w:lang w:val="en-US" w:eastAsia="zh-CN"/>
        </w:rPr>
        <w:t>工厂未来发展目标，持</w:t>
      </w:r>
      <w:r>
        <w:rPr>
          <w:rFonts w:hint="default" w:ascii="Times New Roman" w:hAnsi="Times New Roman" w:eastAsia="仿宋" w:cs="Times New Roman"/>
          <w:color w:val="000000"/>
          <w:kern w:val="0"/>
          <w:sz w:val="32"/>
          <w:szCs w:val="32"/>
          <w:highlight w:val="none"/>
        </w:rPr>
        <w:t>续推进绿色工厂建设方面拟开展的重点工作，拟实施的重大项目情况</w:t>
      </w:r>
      <w:r>
        <w:rPr>
          <w:rFonts w:hint="default" w:ascii="Times New Roman" w:hAnsi="Times New Roman" w:eastAsia="仿宋" w:cs="Times New Roman"/>
          <w:color w:val="000000"/>
          <w:kern w:val="0"/>
          <w:sz w:val="32"/>
          <w:szCs w:val="32"/>
          <w:highlight w:val="none"/>
          <w:lang w:val="en-US" w:eastAsia="zh-CN"/>
        </w:rPr>
        <w:t>等</w:t>
      </w:r>
      <w:r>
        <w:rPr>
          <w:rFonts w:hint="default" w:ascii="Times New Roman" w:hAnsi="Times New Roman" w:eastAsia="仿宋" w:cs="Times New Roman"/>
          <w:color w:val="000000"/>
          <w:kern w:val="0"/>
          <w:sz w:val="32"/>
          <w:szCs w:val="32"/>
          <w:highlight w:val="none"/>
        </w:rPr>
        <w:t>。</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1.绿色工厂未来目标。主要描述各项绩效指标在两年后（2024年)的预期目标。</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2.绿色工厂创建重点工作。主要描述工厂在2022-2024年为持续提升绿色工厂水平开展的重点工作任务情况。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eastAsia="zh-CN"/>
        </w:rPr>
      </w:pPr>
      <w:r>
        <w:rPr>
          <w:rFonts w:hint="default" w:ascii="Times New Roman" w:hAnsi="Times New Roman" w:eastAsia="仿宋" w:cs="Times New Roman"/>
          <w:color w:val="000000"/>
          <w:kern w:val="0"/>
          <w:sz w:val="32"/>
          <w:szCs w:val="32"/>
          <w:highlight w:val="none"/>
          <w:lang w:val="en-US" w:eastAsia="zh-CN"/>
        </w:rPr>
        <w:t>3.减碳工作。主要描述工厂在减少碳排放方面的工作计划和减排目标。例如，</w:t>
      </w:r>
      <w:r>
        <w:rPr>
          <w:rFonts w:hint="default" w:ascii="Times New Roman" w:hAnsi="Times New Roman" w:eastAsia="仿宋" w:cs="Times New Roman"/>
          <w:color w:val="000000"/>
          <w:kern w:val="0"/>
          <w:sz w:val="32"/>
          <w:szCs w:val="32"/>
          <w:highlight w:val="none"/>
        </w:rPr>
        <w:t>建立碳排放管理体系，建立健全碳排放</w:t>
      </w:r>
      <w:r>
        <w:rPr>
          <w:rFonts w:hint="default" w:ascii="Times New Roman" w:hAnsi="Times New Roman" w:eastAsia="仿宋" w:cs="Times New Roman"/>
          <w:color w:val="000000"/>
          <w:kern w:val="0"/>
          <w:sz w:val="32"/>
          <w:szCs w:val="32"/>
          <w:highlight w:val="none"/>
          <w:lang w:val="en-US" w:eastAsia="zh-CN"/>
        </w:rPr>
        <w:t>核算</w:t>
      </w:r>
      <w:r>
        <w:rPr>
          <w:rFonts w:hint="default" w:ascii="Times New Roman" w:hAnsi="Times New Roman" w:eastAsia="仿宋" w:cs="Times New Roman"/>
          <w:color w:val="000000"/>
          <w:kern w:val="0"/>
          <w:sz w:val="32"/>
          <w:szCs w:val="32"/>
          <w:highlight w:val="none"/>
        </w:rPr>
        <w:t>计量体系，制定专项降碳工作方案，</w:t>
      </w:r>
      <w:r>
        <w:rPr>
          <w:rFonts w:hint="default" w:ascii="Times New Roman" w:hAnsi="Times New Roman" w:eastAsia="仿宋" w:cs="Times New Roman"/>
          <w:color w:val="000000"/>
          <w:kern w:val="0"/>
          <w:sz w:val="32"/>
          <w:szCs w:val="32"/>
          <w:highlight w:val="none"/>
          <w:lang w:val="en-US" w:eastAsia="zh-CN"/>
        </w:rPr>
        <w:t>碳减排技术应用，</w:t>
      </w:r>
      <w:r>
        <w:rPr>
          <w:rFonts w:hint="default" w:ascii="Times New Roman" w:hAnsi="Times New Roman" w:eastAsia="仿宋" w:cs="Times New Roman"/>
          <w:color w:val="000000"/>
          <w:kern w:val="0"/>
          <w:sz w:val="32"/>
          <w:szCs w:val="32"/>
          <w:highlight w:val="none"/>
        </w:rPr>
        <w:t>参与碳排放标准制定等</w:t>
      </w:r>
      <w:r>
        <w:rPr>
          <w:rFonts w:hint="default" w:ascii="Times New Roman" w:hAnsi="Times New Roman" w:eastAsia="仿宋" w:cs="Times New Roman"/>
          <w:color w:val="000000"/>
          <w:kern w:val="0"/>
          <w:sz w:val="32"/>
          <w:szCs w:val="32"/>
          <w:highlight w:val="none"/>
          <w:lang w:eastAsia="zh-CN"/>
        </w:rPr>
        <w:t>。</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4.重点项目情况。填写2022-2024年工厂拟建设的绿色</w:t>
      </w:r>
      <w:r>
        <w:rPr>
          <w:rFonts w:hint="eastAsia" w:ascii="Times New Roman" w:hAnsi="Times New Roman" w:eastAsia="仿宋" w:cs="Times New Roman"/>
          <w:color w:val="000000"/>
          <w:kern w:val="0"/>
          <w:sz w:val="32"/>
          <w:szCs w:val="32"/>
          <w:highlight w:val="none"/>
          <w:lang w:val="en-US" w:eastAsia="zh-CN"/>
        </w:rPr>
        <w:t>低碳升级改造重点</w:t>
      </w:r>
      <w:r>
        <w:rPr>
          <w:rFonts w:hint="default" w:ascii="Times New Roman" w:hAnsi="Times New Roman" w:eastAsia="仿宋" w:cs="Times New Roman"/>
          <w:color w:val="000000"/>
          <w:kern w:val="0"/>
          <w:sz w:val="32"/>
          <w:szCs w:val="32"/>
          <w:highlight w:val="none"/>
          <w:lang w:val="en-US" w:eastAsia="zh-CN"/>
        </w:rPr>
        <w:t>项目汇总表，测算项目节能、</w:t>
      </w:r>
      <w:r>
        <w:rPr>
          <w:rFonts w:hint="eastAsia" w:ascii="Times New Roman" w:hAnsi="Times New Roman" w:eastAsia="仿宋" w:cs="Times New Roman"/>
          <w:color w:val="000000"/>
          <w:kern w:val="0"/>
          <w:sz w:val="32"/>
          <w:szCs w:val="32"/>
          <w:highlight w:val="none"/>
          <w:lang w:val="en-US" w:eastAsia="zh-CN"/>
        </w:rPr>
        <w:t>节水、</w:t>
      </w:r>
      <w:r>
        <w:rPr>
          <w:rFonts w:hint="default" w:ascii="Times New Roman" w:hAnsi="Times New Roman" w:eastAsia="仿宋" w:cs="Times New Roman"/>
          <w:color w:val="000000"/>
          <w:kern w:val="0"/>
          <w:sz w:val="32"/>
          <w:szCs w:val="32"/>
          <w:highlight w:val="none"/>
          <w:lang w:val="en-US" w:eastAsia="zh-CN"/>
        </w:rPr>
        <w:t>节材、减排、降碳和资源综合利用绩效。</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仿宋" w:cs="Times New Roman"/>
          <w:color w:val="000000"/>
          <w:kern w:val="0"/>
          <w:sz w:val="32"/>
          <w:szCs w:val="32"/>
          <w:highlight w:val="none"/>
          <w:lang w:val="en-US" w:eastAsia="zh-CN"/>
        </w:rPr>
      </w:pP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center"/>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color w:val="000000"/>
          <w:kern w:val="0"/>
          <w:sz w:val="32"/>
          <w:szCs w:val="32"/>
          <w:highlight w:val="none"/>
          <w:lang w:val="en-US" w:eastAsia="zh-CN"/>
        </w:rPr>
        <w:t>表xx 绿色</w:t>
      </w:r>
      <w:r>
        <w:rPr>
          <w:rFonts w:hint="eastAsia" w:ascii="Times New Roman" w:hAnsi="Times New Roman" w:eastAsia="仿宋" w:cs="Times New Roman"/>
          <w:color w:val="000000"/>
          <w:kern w:val="0"/>
          <w:sz w:val="32"/>
          <w:szCs w:val="32"/>
          <w:highlight w:val="none"/>
          <w:lang w:val="en-US" w:eastAsia="zh-CN"/>
        </w:rPr>
        <w:t>低碳升级改造</w:t>
      </w:r>
      <w:r>
        <w:rPr>
          <w:rFonts w:hint="default" w:ascii="Times New Roman" w:hAnsi="Times New Roman" w:eastAsia="仿宋" w:cs="Times New Roman"/>
          <w:color w:val="000000"/>
          <w:kern w:val="0"/>
          <w:sz w:val="32"/>
          <w:szCs w:val="32"/>
          <w:highlight w:val="none"/>
          <w:lang w:val="en-US" w:eastAsia="zh-CN"/>
        </w:rPr>
        <w:t>重点项目汇总表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580"/>
        <w:gridCol w:w="1828"/>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序号</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项目名称</w:t>
            </w: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项目内容</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项目建设期限</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项目投资估算</w:t>
            </w: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r>
              <w:rPr>
                <w:rFonts w:hint="default" w:ascii="Times New Roman" w:hAnsi="Times New Roman" w:eastAsia="仿宋" w:cs="Times New Roman"/>
                <w:sz w:val="32"/>
                <w:szCs w:val="32"/>
                <w:highlight w:val="none"/>
                <w:vertAlign w:val="baseline"/>
                <w:lang w:val="en-US" w:eastAsia="zh-CN"/>
              </w:rPr>
              <w:t>项目效益分析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93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c>
          <w:tcPr>
            <w:tcW w:w="149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仿宋" w:cs="Times New Roman"/>
                <w:sz w:val="32"/>
                <w:szCs w:val="32"/>
                <w:highlight w:val="none"/>
                <w:vertAlign w:val="baseline"/>
                <w:lang w:val="en-US" w:eastAsia="zh-CN"/>
              </w:rPr>
            </w:pPr>
          </w:p>
        </w:tc>
      </w:tr>
    </w:tbl>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仿宋" w:cs="Times New Roman"/>
          <w:bCs w:val="0"/>
          <w:color w:val="00000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四、绿色工厂创建自评表</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both"/>
        <w:textAlignment w:val="auto"/>
        <w:outlineLvl w:val="9"/>
        <w:rPr>
          <w:rFonts w:hint="default" w:ascii="Times New Roman" w:hAnsi="Times New Roman" w:eastAsia="仿宋" w:cs="Times New Roman"/>
          <w:color w:val="000000"/>
          <w:kern w:val="0"/>
          <w:sz w:val="32"/>
          <w:szCs w:val="32"/>
          <w:highlight w:val="none"/>
        </w:rPr>
      </w:pPr>
      <w:r>
        <w:rPr>
          <w:rFonts w:hint="default" w:ascii="Times New Roman" w:hAnsi="Times New Roman" w:eastAsia="仿宋" w:cs="Times New Roman"/>
          <w:color w:val="000000"/>
          <w:kern w:val="0"/>
          <w:sz w:val="32"/>
          <w:szCs w:val="32"/>
          <w:highlight w:val="none"/>
        </w:rPr>
        <w:t>依据工厂情况和《绿色工厂评价要求》进行自评，并填写附表1</w:t>
      </w:r>
      <w:r>
        <w:rPr>
          <w:rFonts w:hint="default" w:ascii="Times New Roman" w:hAnsi="Times New Roman" w:eastAsia="仿宋" w:cs="Times New Roman"/>
          <w:color w:val="000000"/>
          <w:kern w:val="0"/>
          <w:sz w:val="32"/>
          <w:szCs w:val="32"/>
          <w:highlight w:val="none"/>
          <w:lang w:val="en-US" w:eastAsia="zh-CN"/>
        </w:rPr>
        <w:t>.1</w:t>
      </w:r>
      <w:r>
        <w:rPr>
          <w:rFonts w:hint="default" w:ascii="Times New Roman" w:hAnsi="Times New Roman" w:eastAsia="仿宋" w:cs="Times New Roman"/>
          <w:color w:val="000000"/>
          <w:kern w:val="0"/>
          <w:sz w:val="32"/>
          <w:szCs w:val="32"/>
          <w:highlight w:val="none"/>
        </w:rPr>
        <w:t>和附表</w:t>
      </w:r>
      <w:r>
        <w:rPr>
          <w:rFonts w:hint="default" w:ascii="Times New Roman" w:hAnsi="Times New Roman" w:eastAsia="仿宋" w:cs="Times New Roman"/>
          <w:color w:val="000000"/>
          <w:kern w:val="0"/>
          <w:sz w:val="32"/>
          <w:szCs w:val="32"/>
          <w:highlight w:val="none"/>
          <w:lang w:val="en-US" w:eastAsia="zh-CN"/>
        </w:rPr>
        <w:t>1.</w:t>
      </w:r>
      <w:r>
        <w:rPr>
          <w:rFonts w:hint="default" w:ascii="Times New Roman" w:hAnsi="Times New Roman" w:eastAsia="仿宋" w:cs="Times New Roman"/>
          <w:color w:val="000000"/>
          <w:kern w:val="0"/>
          <w:sz w:val="32"/>
          <w:szCs w:val="32"/>
          <w:highlight w:val="none"/>
        </w:rPr>
        <w:t>2。</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五、相关证明材料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color w:val="000000"/>
          <w:sz w:val="32"/>
          <w:highlight w:val="none"/>
        </w:rPr>
      </w:pPr>
      <w:r>
        <w:rPr>
          <w:rFonts w:hint="default" w:ascii="Times New Roman" w:hAnsi="Times New Roman" w:eastAsia="仿宋" w:cs="Times New Roman"/>
          <w:color w:val="000000"/>
          <w:sz w:val="32"/>
          <w:highlight w:val="none"/>
        </w:rPr>
        <w:t>包括但不限于以下材料：</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企业营业执照复印件；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企业生产许可证复印件（适用时）；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CCC产品认证证书复印件（适用时）；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工厂建设批复文件复印件；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三同时验收文件复印件；</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firstLineChars="20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最高管理者承诺书（包括传达与资源）；</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管理者代表授权书（包括4项职责）；</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highlight w:val="none"/>
        </w:rPr>
        <w:t>管理机构的组织及相关制度；</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szCs w:val="24"/>
          <w:highlight w:val="none"/>
        </w:rPr>
        <w:t>文件化的绿色工厂建设目标、指标、方案；</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24"/>
          <w:highlight w:val="none"/>
        </w:rPr>
      </w:pPr>
      <w:r>
        <w:rPr>
          <w:rFonts w:hint="default" w:ascii="Times New Roman" w:hAnsi="Times New Roman" w:eastAsia="仿宋" w:cs="Times New Roman"/>
          <w:sz w:val="32"/>
          <w:szCs w:val="24"/>
          <w:highlight w:val="none"/>
        </w:rPr>
        <w:t>教育和培训记录;</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相关管理体系认证证书</w:t>
      </w:r>
      <w:r>
        <w:rPr>
          <w:rFonts w:hint="default" w:ascii="Times New Roman" w:hAnsi="Times New Roman" w:eastAsia="仿宋" w:cs="Times New Roman"/>
          <w:sz w:val="32"/>
          <w:highlight w:val="none"/>
          <w:lang w:val="en-US" w:eastAsia="zh-CN"/>
        </w:rPr>
        <w:t>和</w:t>
      </w:r>
      <w:r>
        <w:rPr>
          <w:rFonts w:hint="default" w:ascii="Times New Roman" w:hAnsi="Times New Roman" w:eastAsia="仿宋" w:cs="Times New Roman"/>
          <w:sz w:val="32"/>
          <w:highlight w:val="none"/>
        </w:rPr>
        <w:t>全国认证认可信息公共服务平台</w:t>
      </w:r>
      <w:r>
        <w:rPr>
          <w:rFonts w:hint="default" w:ascii="Times New Roman" w:hAnsi="Times New Roman" w:eastAsia="仿宋" w:cs="Times New Roman"/>
          <w:sz w:val="32"/>
          <w:highlight w:val="none"/>
          <w:lang w:val="en-US" w:eastAsia="zh-CN"/>
        </w:rPr>
        <w:t>的证书详情截图（截图时间应在申报周期内）</w:t>
      </w:r>
      <w:r>
        <w:rPr>
          <w:rFonts w:hint="default" w:ascii="Times New Roman" w:hAnsi="Times New Roman" w:eastAsia="仿宋" w:cs="Times New Roman"/>
          <w:sz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厂房平面布置图（包括空间布局图、计量设备布置图</w:t>
      </w:r>
      <w:r>
        <w:rPr>
          <w:rFonts w:hint="default" w:ascii="Times New Roman" w:hAnsi="Times New Roman" w:eastAsia="仿宋" w:cs="Times New Roman"/>
          <w:sz w:val="32"/>
          <w:highlight w:val="none"/>
          <w:lang w:eastAsia="zh-CN"/>
        </w:rPr>
        <w:t>，</w:t>
      </w:r>
      <w:r>
        <w:rPr>
          <w:rFonts w:hint="default" w:ascii="Times New Roman" w:hAnsi="Times New Roman" w:eastAsia="仿宋" w:cs="Times New Roman"/>
          <w:sz w:val="32"/>
          <w:highlight w:val="none"/>
          <w:lang w:val="en-US" w:eastAsia="zh-CN"/>
        </w:rPr>
        <w:t>标明</w:t>
      </w:r>
      <w:r>
        <w:rPr>
          <w:rFonts w:hint="default" w:ascii="Times New Roman" w:hAnsi="Times New Roman" w:eastAsia="仿宋" w:cs="Times New Roman"/>
          <w:sz w:val="32"/>
          <w:highlight w:val="none"/>
        </w:rPr>
        <w:t>危险品仓库、有毒有害操作间、废弃物处理间</w:t>
      </w:r>
      <w:r>
        <w:rPr>
          <w:rFonts w:hint="default" w:ascii="Times New Roman" w:hAnsi="Times New Roman" w:eastAsia="仿宋" w:cs="Times New Roman"/>
          <w:sz w:val="32"/>
          <w:highlight w:val="none"/>
          <w:lang w:val="en-US" w:eastAsia="zh-CN"/>
        </w:rPr>
        <w:t>位置</w:t>
      </w:r>
      <w:r>
        <w:rPr>
          <w:rFonts w:hint="default" w:ascii="Times New Roman" w:hAnsi="Times New Roman" w:eastAsia="仿宋" w:cs="Times New Roman"/>
          <w:sz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计量设备清单、用能设备清单、污染物处理设备清单、原材料清单等；</w:t>
      </w:r>
    </w:p>
    <w:p>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640"/>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highlight w:val="none"/>
        </w:rPr>
        <w:t>合格供应商名录及其评价表、采购立项审批文件、程序文件、招投标文件等；</w:t>
      </w:r>
    </w:p>
    <w:p>
      <w:pPr>
        <w:numPr>
          <w:ilvl w:val="0"/>
          <w:numId w:val="1"/>
        </w:numPr>
        <w:autoSpaceDE/>
        <w:autoSpaceDN/>
        <w:ind w:left="0" w:firstLine="640"/>
        <w:jc w:val="both"/>
        <w:outlineLvl w:val="9"/>
        <w:rPr>
          <w:rFonts w:hint="default" w:ascii="Times New Roman" w:hAnsi="Times New Roman" w:eastAsia="仿宋" w:cs="Times New Roman"/>
          <w:sz w:val="32"/>
          <w:highlight w:val="none"/>
          <w:lang w:val="en-US" w:eastAsia="zh-CN"/>
        </w:rPr>
      </w:pPr>
      <w:r>
        <w:rPr>
          <w:rFonts w:hint="default" w:ascii="Times New Roman" w:hAnsi="Times New Roman" w:eastAsia="仿宋" w:cs="Times New Roman"/>
          <w:sz w:val="32"/>
          <w:highlight w:val="none"/>
        </w:rPr>
        <w:t>申报工厂已获得的国家、地方、行业节能环保相关奖励证书等。</w:t>
      </w:r>
    </w:p>
    <w:p>
      <w:pPr>
        <w:numPr>
          <w:ilvl w:val="0"/>
          <w:numId w:val="1"/>
        </w:numPr>
        <w:autoSpaceDE/>
        <w:autoSpaceDN/>
        <w:ind w:left="0" w:firstLine="640"/>
        <w:jc w:val="both"/>
        <w:outlineLvl w:val="9"/>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lang w:val="en-US" w:eastAsia="zh-CN"/>
        </w:rPr>
        <w:t>其他必要的证明材料。</w:t>
      </w:r>
    </w:p>
    <w:p>
      <w:pPr>
        <w:pStyle w:val="2"/>
        <w:rPr>
          <w:rFonts w:hint="default" w:ascii="Times New Roman" w:hAnsi="Times New Roman" w:cs="Times New Roman"/>
        </w:rPr>
      </w:pPr>
    </w:p>
    <w:p>
      <w:pPr>
        <w:pStyle w:val="2"/>
        <w:rPr>
          <w:rFonts w:hint="default" w:ascii="Times New Roman" w:hAnsi="Times New Roman" w:eastAsia="宋体" w:cs="Times New Roman"/>
          <w:sz w:val="32"/>
          <w:highlight w:val="none"/>
        </w:rPr>
      </w:pPr>
    </w:p>
    <w:p>
      <w:pPr>
        <w:widowControl/>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highlight w:val="none"/>
        </w:rPr>
        <w:br w:type="page"/>
      </w:r>
      <w:r>
        <w:rPr>
          <w:rFonts w:hint="default" w:ascii="Times New Roman" w:hAnsi="Times New Roman" w:eastAsia="仿宋" w:cs="Times New Roman"/>
          <w:color w:val="auto"/>
          <w:sz w:val="32"/>
          <w:szCs w:val="32"/>
          <w:highlight w:val="none"/>
          <w:lang w:eastAsia="zh-CN"/>
        </w:rPr>
        <w:t>附表</w:t>
      </w:r>
      <w:r>
        <w:rPr>
          <w:rFonts w:hint="default" w:ascii="Times New Roman" w:hAnsi="Times New Roman" w:eastAsia="仿宋" w:cs="Times New Roman"/>
          <w:color w:val="auto"/>
          <w:sz w:val="32"/>
          <w:szCs w:val="32"/>
          <w:highlight w:val="none"/>
          <w:lang w:val="en-US" w:eastAsia="zh-CN"/>
        </w:rPr>
        <w:t>1.1</w:t>
      </w:r>
    </w:p>
    <w:p>
      <w:pPr>
        <w:keepNext w:val="0"/>
        <w:keepLines w:val="0"/>
        <w:pageBreakBefore w:val="0"/>
        <w:widowControl/>
        <w:kinsoku/>
        <w:wordWrap/>
        <w:overflowPunct/>
        <w:topLinePunct w:val="0"/>
        <w:autoSpaceDE/>
        <w:autoSpaceDN/>
        <w:bidi w:val="0"/>
        <w:adjustRightInd/>
        <w:snapToGrid/>
        <w:spacing w:before="157" w:beforeLines="50" w:after="313" w:afterLines="100" w:line="240" w:lineRule="auto"/>
        <w:ind w:left="0" w:leftChars="0" w:right="0" w:rightChars="0" w:firstLine="0" w:firstLineChars="0"/>
        <w:jc w:val="center"/>
        <w:textAlignment w:val="auto"/>
        <w:outlineLvl w:val="9"/>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w:t>
      </w:r>
      <w:r>
        <w:rPr>
          <w:rFonts w:hint="default" w:ascii="Times New Roman" w:hAnsi="Times New Roman" w:eastAsia="黑体" w:cs="Times New Roman"/>
          <w:bCs/>
          <w:sz w:val="36"/>
          <w:szCs w:val="36"/>
          <w:highlight w:val="none"/>
        </w:rPr>
        <w:t>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4218"/>
        <w:gridCol w:w="2216"/>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45" w:hRule="atLeast"/>
          <w:tblHeader/>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lang w:val="en-US" w:eastAsia="zh-CN"/>
              </w:rPr>
              <w:t>基本</w:t>
            </w:r>
            <w:r>
              <w:rPr>
                <w:rFonts w:hint="default" w:ascii="Times New Roman" w:hAnsi="Times New Roman" w:eastAsia="仿宋" w:cs="Times New Roman"/>
                <w:b/>
                <w:kern w:val="0"/>
                <w:sz w:val="28"/>
                <w:szCs w:val="28"/>
                <w:highlight w:val="none"/>
              </w:rPr>
              <w:t>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绿色工厂应依法设立，在建设和生产过程中应遵守有关法律、法规、政策和标准。</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72"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近三年（含成立不足三年）无较大及以上安全、环保、质量等事故。</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72"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对利益相关方的环境要求做出承诺的，应同时满足有关承诺的要求。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val="en-US" w:eastAsia="zh-CN"/>
              </w:rPr>
              <w:t>最高管理者在绿色工厂方面的领导作用和承诺满足GB/T 36132中4.3.1 a)的要求。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49"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最高管理者应</w:t>
            </w:r>
            <w:r>
              <w:rPr>
                <w:rFonts w:hint="default" w:ascii="Times New Roman" w:hAnsi="Times New Roman" w:eastAsia="仿宋" w:cs="Times New Roman"/>
                <w:kern w:val="0"/>
                <w:sz w:val="24"/>
                <w:highlight w:val="none"/>
              </w:rPr>
              <w:t>确保在工厂内部分配并沟通与绿色工厂相关角色的职责和权限</w:t>
            </w:r>
            <w:r>
              <w:rPr>
                <w:rFonts w:hint="default" w:ascii="Times New Roman" w:hAnsi="Times New Roman" w:eastAsia="仿宋" w:cs="Times New Roman"/>
                <w:kern w:val="0"/>
                <w:sz w:val="24"/>
                <w:highlight w:val="none"/>
                <w:lang w:eastAsia="zh-CN"/>
              </w:rPr>
              <w:t>，且满</w:t>
            </w:r>
            <w:r>
              <w:rPr>
                <w:rFonts w:hint="default" w:ascii="Times New Roman" w:hAnsi="Times New Roman" w:eastAsia="仿宋" w:cs="Times New Roman"/>
                <w:kern w:val="0"/>
                <w:sz w:val="24"/>
                <w:highlight w:val="none"/>
                <w:lang w:val="en-US" w:eastAsia="zh-CN"/>
              </w:rPr>
              <w:t>足GB/T 36132中4.3.1 b)的要求。</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w:t>
            </w:r>
            <w:r>
              <w:rPr>
                <w:rFonts w:hint="default" w:ascii="Times New Roman" w:hAnsi="Times New Roman" w:eastAsia="仿宋" w:cs="Times New Roman"/>
                <w:kern w:val="0"/>
                <w:sz w:val="24"/>
                <w:szCs w:val="24"/>
                <w:highlight w:val="none"/>
              </w:rPr>
              <w:t>应设有绿色工厂管理机构，负责有关绿色工厂的制度建设、实施、考核及奖励工作，建立目标责任制。</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1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工厂</w:t>
            </w:r>
            <w:r>
              <w:rPr>
                <w:rFonts w:hint="default" w:ascii="Times New Roman" w:hAnsi="Times New Roman" w:eastAsia="仿宋" w:cs="Times New Roman"/>
                <w:kern w:val="0"/>
                <w:sz w:val="24"/>
                <w:highlight w:val="none"/>
              </w:rPr>
              <w:t>应有开展绿色</w:t>
            </w:r>
            <w:r>
              <w:rPr>
                <w:rFonts w:hint="default" w:ascii="Times New Roman" w:hAnsi="Times New Roman" w:eastAsia="仿宋" w:cs="Times New Roman"/>
                <w:kern w:val="0"/>
                <w:sz w:val="24"/>
                <w:highlight w:val="none"/>
                <w:lang w:eastAsia="zh-CN"/>
              </w:rPr>
              <w:t>工厂</w:t>
            </w:r>
            <w:r>
              <w:rPr>
                <w:rFonts w:hint="default" w:ascii="Times New Roman" w:hAnsi="Times New Roman" w:eastAsia="仿宋" w:cs="Times New Roman"/>
                <w:kern w:val="0"/>
                <w:sz w:val="24"/>
                <w:highlight w:val="none"/>
              </w:rPr>
              <w:t>的中长期规划及年度目标、指标和实施方案。可行时，指标应明确且可量化。</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60" w:hRule="atLeast"/>
        </w:trPr>
        <w:tc>
          <w:tcPr>
            <w:tcW w:w="421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w:t>
            </w:r>
            <w:r>
              <w:rPr>
                <w:rFonts w:hint="default" w:ascii="Times New Roman" w:hAnsi="Times New Roman" w:eastAsia="仿宋" w:cs="Times New Roman"/>
                <w:kern w:val="0"/>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0"/>
                <w:sz w:val="24"/>
                <w:szCs w:val="24"/>
                <w:highlight w:val="none"/>
                <w:lang w:eastAsia="zh-CN"/>
              </w:rPr>
              <w:t>。</w:t>
            </w:r>
          </w:p>
        </w:tc>
        <w:tc>
          <w:tcPr>
            <w:tcW w:w="22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default" w:ascii="Times New Roman" w:hAnsi="Times New Roman" w:eastAsia="仿宋" w:cs="Times New Roman"/>
                <w:kern w:val="0"/>
                <w:sz w:val="28"/>
                <w:szCs w:val="28"/>
                <w:highlight w:val="none"/>
              </w:rPr>
            </w:pPr>
          </w:p>
        </w:tc>
      </w:tr>
    </w:tbl>
    <w:p>
      <w:pPr>
        <w:spacing w:line="360" w:lineRule="auto"/>
        <w:jc w:val="center"/>
        <w:rPr>
          <w:rFonts w:hint="default" w:ascii="Times New Roman" w:hAnsi="Times New Roman" w:eastAsia="方正小标宋简体" w:cs="Times New Roman"/>
          <w:bCs/>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default" w:ascii="Times New Roman" w:hAnsi="Times New Roman" w:eastAsia="仿宋" w:cs="Times New Roman"/>
          <w:bCs/>
          <w:sz w:val="36"/>
          <w:szCs w:val="36"/>
          <w:highlight w:val="none"/>
        </w:rPr>
      </w:pPr>
      <w:r>
        <w:rPr>
          <w:rFonts w:hint="default" w:ascii="Times New Roman" w:hAnsi="Times New Roman" w:eastAsia="仿宋" w:cs="Times New Roman"/>
          <w:color w:val="auto"/>
          <w:sz w:val="32"/>
          <w:szCs w:val="32"/>
          <w:highlight w:val="none"/>
          <w:lang w:eastAsia="zh-CN"/>
        </w:rPr>
        <w:t>附表</w:t>
      </w:r>
      <w:r>
        <w:rPr>
          <w:rFonts w:hint="default" w:ascii="Times New Roman" w:hAnsi="Times New Roman" w:eastAsia="仿宋" w:cs="Times New Roman"/>
          <w:color w:val="auto"/>
          <w:sz w:val="32"/>
          <w:szCs w:val="32"/>
          <w:highlight w:val="none"/>
          <w:lang w:val="en-US" w:eastAsia="zh-CN"/>
        </w:rPr>
        <w:t>1.2</w:t>
      </w:r>
    </w:p>
    <w:p>
      <w:pPr>
        <w:spacing w:line="360" w:lineRule="auto"/>
        <w:jc w:val="center"/>
        <w:rPr>
          <w:rFonts w:hint="eastAsia" w:ascii="Times New Roman" w:hAnsi="Times New Roman" w:eastAsia="黑体" w:cs="Times New Roman"/>
          <w:bCs/>
          <w:sz w:val="36"/>
          <w:szCs w:val="36"/>
          <w:highlight w:val="none"/>
          <w:lang w:val="en-US" w:eastAsia="zh-CN"/>
        </w:rPr>
      </w:pPr>
      <w:r>
        <w:rPr>
          <w:rFonts w:hint="default" w:ascii="Times New Roman" w:hAnsi="Times New Roman" w:eastAsia="黑体" w:cs="Times New Roman"/>
          <w:bCs/>
          <w:sz w:val="36"/>
          <w:szCs w:val="36"/>
          <w:highlight w:val="none"/>
        </w:rPr>
        <w:t>绿色工厂评价指标自评表</w:t>
      </w:r>
      <w:r>
        <w:rPr>
          <w:rFonts w:hint="eastAsia" w:ascii="Times New Roman" w:hAnsi="Times New Roman" w:eastAsia="黑体" w:cs="Times New Roman"/>
          <w:bCs/>
          <w:sz w:val="36"/>
          <w:szCs w:val="36"/>
          <w:highlight w:val="none"/>
          <w:vertAlign w:val="superscript"/>
          <w:lang w:val="en-US" w:eastAsia="zh-CN"/>
        </w:rPr>
        <w:t>1</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443"/>
        <w:gridCol w:w="5060"/>
        <w:gridCol w:w="3473"/>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1"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6503" w:type="dxa"/>
            <w:gridSpan w:val="2"/>
            <w:noWrap w:val="0"/>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lang w:eastAsia="zh-CN"/>
              </w:rPr>
              <w:t>二级指标具体要求</w:t>
            </w:r>
          </w:p>
        </w:tc>
        <w:tc>
          <w:tcPr>
            <w:tcW w:w="3473"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指标值及是否符合评价要求</w:t>
            </w:r>
          </w:p>
        </w:tc>
        <w:tc>
          <w:tcPr>
            <w:tcW w:w="2367" w:type="dxa"/>
            <w:noWrap w:val="0"/>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设施</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工厂的建筑应满足国家或地方相关法律法规及标准的要求。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snapToGri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新建、改建和扩建建筑时，应遵守国家“固定资产投资项目节能评估审查制度”、“三同时制度”、“工业项目建设用地控制指标”等产业政策和有关要求。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厂房内部装饰装修材料中醛、苯、氨、氡等有害物质必须符合国家和地方法律、标准要求。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autoSpaceDN/>
              <w:adjustRightIn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危险品仓库、有毒有害操作间、废弃物处理间等产生污染物的房间应独立设置。</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人工照明应符合GB 50034规定。</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设备应达到相关标准中能效限定值的强制性要求。已明令禁止生产、使用的和能耗高、效率低的设备应限期淘汰更新</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pStyle w:val="13"/>
              <w:autoSpaceDE w:val="0"/>
              <w:autoSpaceDN w:val="0"/>
              <w:adjustRightInd w:val="0"/>
              <w:spacing w:before="0" w:beforeLines="0" w:beforeAutospacing="0" w:after="0" w:afterLines="0" w:afterAutospacing="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szCs w:val="22"/>
                <w:highlight w:val="none"/>
              </w:rPr>
              <w:t>工厂应依据GB 17167、GB 24789等要求配备、使用和管理能源、水以及其他资源的计量器具和装置。</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建筑结构：采用钢结构、砌体结构和木结构等资源消耗和环境影响小的建筑结构体系。</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绿化及场地：（1）场地内设置可遮荫避雨的步行连廊。（2）厂区绿化适宜，优先种植乡土植物，采用少维护、耐候性强的植物，减少日常维护的费用。（3）室外透水地面面积占室外总面积的比例不小于30%。</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再生资源及能源利用：（1）可再生能源的使用占建筑总能耗的比例大于10%；（2）采用节水器具和设备，节水率不低于10%。</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适用时，工厂的厂房采用多层建筑。</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工厂厂区及各房间或场所的照明尽量利用自然光。</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工艺适用时，节能灯等节能型照明设备的使用占比不低于50%</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公共场所的照明采取分区、分组与定时自动调光等措施。</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工厂使用的通用用能设备采用了节能型产品或效率高、能耗低、水耗低、物耗低的产品。</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体系</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工厂应建立、实施并保持质量管理体系和职业健康安全管理体系。工厂的质量管理体系应满足GB/T 19001的要求，职业健康安全管理体系应满足GB/T 28001的要求。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工厂应建立、实施并保持环境管理体系。工厂的环境管理体系应满足GB/T 24001的要求。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工厂应建立、实施并保持能源管理体系。工厂的能源管理体系应满足GB/T 23331的要求。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通过质量管理体系和职业健康安全管理体系第三方认证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通过环境管理体系第三方认证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通过能源管理体系第三方认证</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每年发布社会责任报告，说明履行利益相关方责任的情况，特别是环境社会责任的履行情况，报告公开可获得。</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投入</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工厂应优化用能结构，在保证安全、质量的前提下减少不可再生能源投入。</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工厂应减少材料、尤其是有害物质的使用，评估有害物质及化学品减量使用或替代的可行性。</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工厂应制定并实施包括环保要求的选择、评价和重新评价供方的准则。</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工厂向供方提供的采购信息包含有害物质使用、可回收材料使用、能效等环保要求。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满足绿色供应链评价要求</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产品</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工厂生产的产品</w:t>
            </w:r>
            <w:r>
              <w:rPr>
                <w:rFonts w:hint="default" w:ascii="Times New Roman" w:hAnsi="Times New Roman" w:eastAsia="仿宋" w:cs="Times New Roman"/>
                <w:kern w:val="0"/>
                <w:sz w:val="24"/>
                <w:szCs w:val="24"/>
                <w:highlight w:val="none"/>
                <w:lang w:eastAsia="zh-CN"/>
              </w:rPr>
              <w:t>（包括原料和辅料）</w:t>
            </w:r>
            <w:r>
              <w:rPr>
                <w:rFonts w:hint="default" w:ascii="Times New Roman" w:hAnsi="Times New Roman" w:eastAsia="仿宋" w:cs="Times New Roman"/>
                <w:kern w:val="0"/>
                <w:sz w:val="24"/>
                <w:szCs w:val="24"/>
                <w:highlight w:val="none"/>
              </w:rPr>
              <w:t>应减少有害物质的使用，避免有害物质的泄露，满足国家对产品中有害物质限制使用的要求。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kern w:val="0"/>
                <w:sz w:val="24"/>
                <w:szCs w:val="24"/>
                <w:highlight w:val="none"/>
                <w:lang w:eastAsia="zh-CN"/>
              </w:rPr>
              <w:t>。</w:t>
            </w:r>
            <w:r>
              <w:rPr>
                <w:rFonts w:hint="default" w:ascii="Times New Roman" w:hAnsi="Times New Roman" w:eastAsia="仿宋" w:cs="Times New Roman"/>
                <w:kern w:val="0"/>
                <w:sz w:val="24"/>
                <w:szCs w:val="24"/>
                <w:highlight w:val="none"/>
              </w:rPr>
              <w:t>未制定标准的，产品能效应不低于行业平均值。</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24256对生产的产品进行生态设计。</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32161对生产的产品进行生态设计产品评价，满足绿色产品（生态设计产品）评价要求。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达到相关标准中的节能评价值/先进值要求，未制定标准的，产品能效达到行业前20%的水平。</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采用适用的标准或规范对产品进行碳足迹核算或核查。</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利用核算或核查结果对其产品的碳足迹进行改善</w:t>
            </w:r>
            <w:r>
              <w:rPr>
                <w:rFonts w:hint="default" w:ascii="Times New Roman" w:hAnsi="Times New Roman" w:eastAsia="仿宋" w:cs="Times New Roman"/>
                <w:kern w:val="0"/>
                <w:sz w:val="24"/>
                <w:szCs w:val="24"/>
                <w:highlight w:val="none"/>
                <w:lang w:eastAsia="zh-CN"/>
              </w:rPr>
              <w:t>，核算</w:t>
            </w:r>
            <w:r>
              <w:rPr>
                <w:rFonts w:hint="default" w:ascii="Times New Roman" w:hAnsi="Times New Roman" w:eastAsia="仿宋" w:cs="Times New Roman"/>
                <w:kern w:val="0"/>
                <w:sz w:val="24"/>
                <w:szCs w:val="24"/>
                <w:highlight w:val="none"/>
              </w:rPr>
              <w:t>或核查结果对外公布。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适用时，产品满足相关低碳产品要求。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排放</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utoSpaceDE w:val="0"/>
              <w:autoSpaceDN w:val="0"/>
              <w:adjustRightInd w:val="0"/>
              <w:jc w:val="left"/>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可选</w:t>
            </w:r>
          </w:p>
        </w:tc>
        <w:tc>
          <w:tcPr>
            <w:tcW w:w="5060" w:type="dxa"/>
            <w:noWrap w:val="0"/>
            <w:vAlign w:val="center"/>
          </w:tcPr>
          <w:p>
            <w:pPr>
              <w:widowControl/>
              <w:adjustRightInd/>
              <w:snapToGrid/>
              <w:spacing w:line="276"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widowControl/>
              <w:spacing w:line="276"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工厂获得温室气体排放量第三方核查声明</w:t>
            </w:r>
            <w:r>
              <w:rPr>
                <w:rFonts w:hint="default" w:ascii="Times New Roman" w:hAnsi="Times New Roman" w:eastAsia="仿宋" w:cs="Times New Roman"/>
                <w:kern w:val="0"/>
                <w:sz w:val="24"/>
                <w:szCs w:val="24"/>
                <w:highlight w:val="none"/>
                <w:lang w:eastAsia="zh-CN"/>
              </w:rPr>
              <w:t>。</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48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snapToGrid/>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核查结果对外公布。</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lang w:eastAsia="zh-CN"/>
              </w:rPr>
              <w:t>可行时，</w:t>
            </w:r>
            <w:r>
              <w:rPr>
                <w:rFonts w:hint="default" w:ascii="Times New Roman" w:hAnsi="Times New Roman" w:eastAsia="仿宋" w:cs="Times New Roman"/>
                <w:kern w:val="0"/>
                <w:sz w:val="24"/>
                <w:highlight w:val="none"/>
              </w:rPr>
              <w:t>利用核</w:t>
            </w:r>
            <w:r>
              <w:rPr>
                <w:rFonts w:hint="default" w:ascii="Times New Roman" w:hAnsi="Times New Roman" w:eastAsia="仿宋" w:cs="Times New Roman"/>
                <w:kern w:val="0"/>
                <w:sz w:val="24"/>
                <w:highlight w:val="none"/>
                <w:lang w:eastAsia="zh-CN"/>
              </w:rPr>
              <w:t>算或核查</w:t>
            </w:r>
            <w:r>
              <w:rPr>
                <w:rFonts w:hint="default" w:ascii="Times New Roman" w:hAnsi="Times New Roman" w:eastAsia="仿宋" w:cs="Times New Roman"/>
                <w:kern w:val="0"/>
                <w:sz w:val="24"/>
                <w:highlight w:val="none"/>
              </w:rPr>
              <w:t>结果对其温室气体的排放进行改善。</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noWrap w:val="0"/>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绩效</w:t>
            </w:r>
          </w:p>
        </w:tc>
        <w:tc>
          <w:tcPr>
            <w:tcW w:w="1443" w:type="dxa"/>
            <w:vMerge w:val="restart"/>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lang w:eastAsia="zh-CN"/>
              </w:rPr>
              <w:t>必选</w:t>
            </w: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容积率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建筑密度</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单位用地面积</w:t>
            </w:r>
            <w:r>
              <w:rPr>
                <w:rFonts w:hint="default" w:ascii="Times New Roman" w:hAnsi="Times New Roman" w:eastAsia="仿宋" w:cs="Times New Roman"/>
                <w:kern w:val="0"/>
                <w:sz w:val="24"/>
                <w:szCs w:val="24"/>
                <w:highlight w:val="none"/>
                <w:lang w:eastAsia="zh-CN"/>
              </w:rPr>
              <w:t>产能（或：单位面积产值）</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lang w:eastAsia="zh-CN"/>
              </w:rPr>
              <w:t>绿色物料使用情况（率）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单位产品主要污染物产生量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单位产品废气产生量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单位产品废水产生量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单位产品主要原材料消耗量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工业固体废物综合利用率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废水处理回用率</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单位产品综合能耗</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noWrap w:val="0"/>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1443" w:type="dxa"/>
            <w:vMerge w:val="continue"/>
            <w:noWrap w:val="0"/>
            <w:vAlign w:val="center"/>
          </w:tcPr>
          <w:p>
            <w:pPr>
              <w:pStyle w:val="11"/>
              <w:adjustRightInd w:val="0"/>
              <w:snapToGrid w:val="0"/>
              <w:ind w:firstLine="0" w:firstLineChars="0"/>
              <w:jc w:val="center"/>
              <w:rPr>
                <w:rFonts w:hint="default" w:ascii="Times New Roman" w:hAnsi="Times New Roman" w:eastAsia="仿宋" w:cs="Times New Roman"/>
                <w:kern w:val="0"/>
                <w:sz w:val="24"/>
                <w:szCs w:val="24"/>
                <w:highlight w:val="none"/>
              </w:rPr>
            </w:pPr>
          </w:p>
        </w:tc>
        <w:tc>
          <w:tcPr>
            <w:tcW w:w="5060" w:type="dxa"/>
            <w:noWrap w:val="0"/>
            <w:vAlign w:val="center"/>
          </w:tcPr>
          <w:p>
            <w:pPr>
              <w:adjustRightInd w:val="0"/>
              <w:snapToGri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单位产品碳排放量</w:t>
            </w:r>
          </w:p>
        </w:tc>
        <w:tc>
          <w:tcPr>
            <w:tcW w:w="3473"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2367" w:type="dxa"/>
            <w:noWrap w:val="0"/>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rPr>
          <w:rFonts w:hint="default" w:ascii="Times New Roman" w:hAnsi="Times New Roman" w:eastAsia="仿宋_GB2312" w:cs="Times New Roman"/>
          <w:sz w:val="32"/>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仿宋" w:cs="Times New Roman"/>
          <w:kern w:val="0"/>
          <w:sz w:val="24"/>
          <w:szCs w:val="24"/>
          <w:highlight w:val="none"/>
          <w:lang w:val="en-US" w:eastAsia="zh-CN"/>
        </w:rPr>
        <w:t>注1：凡符合“绿色工厂行业标准清单”的工厂，请根据清单中的标准自行设计该表格。</w:t>
      </w:r>
    </w:p>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w:t>
      </w:r>
      <w:r>
        <w:rPr>
          <w:rFonts w:hint="default"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-2</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    厂   名   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ind w:firstLine="1928" w:firstLineChars="600"/>
        <w:rPr>
          <w:rFonts w:hint="default" w:ascii="Times New Roman" w:hAnsi="Times New Roman" w:eastAsia="仿宋" w:cs="Times New Roman"/>
          <w:b/>
          <w:sz w:val="32"/>
          <w:szCs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 xml:space="preserve">                        </w:t>
      </w:r>
    </w:p>
    <w:p>
      <w:pPr>
        <w:rPr>
          <w:rFonts w:hint="default" w:ascii="Times New Roman" w:hAnsi="Times New Roman" w:eastAsia="仿宋"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r>
        <w:rPr>
          <w:rFonts w:hint="default" w:ascii="Times New Roman" w:hAnsi="Times New Roman" w:eastAsia="方正仿宋简体" w:cs="Times New Roman"/>
          <w:sz w:val="32"/>
          <w:highlight w:val="none"/>
        </w:rPr>
        <w:t xml:space="preserve">   </w:t>
      </w:r>
    </w:p>
    <w:p>
      <w:pPr>
        <w:ind w:firstLine="420" w:firstLineChars="150"/>
        <w:rPr>
          <w:rFonts w:hint="default" w:ascii="Times New Roman" w:hAnsi="Times New Roman" w:eastAsia="方正仿宋简体" w:cs="Times New Roman"/>
          <w:sz w:val="28"/>
          <w:highlight w:val="none"/>
        </w:rPr>
      </w:pPr>
    </w:p>
    <w:p>
      <w:pPr>
        <w:spacing w:line="360" w:lineRule="auto"/>
        <w:jc w:val="center"/>
        <w:rPr>
          <w:rFonts w:hint="default" w:ascii="Times New Roman" w:hAnsi="Times New Roman" w:eastAsia="仿宋" w:cs="Times New Roman"/>
          <w:sz w:val="30"/>
          <w:highlight w:val="none"/>
        </w:rPr>
      </w:pPr>
      <w:r>
        <w:rPr>
          <w:rFonts w:hint="default" w:ascii="Times New Roman" w:hAnsi="Times New Roman" w:eastAsia="仿宋" w:cs="Times New Roman"/>
          <w:sz w:val="30"/>
          <w:highlight w:val="none"/>
        </w:rPr>
        <w:t>工业和信息化部制</w:t>
      </w:r>
    </w:p>
    <w:p>
      <w:pPr>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0"/>
          <w:highlight w:val="none"/>
        </w:rPr>
        <w:t>20  年    月    日</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2602"/>
        <w:gridCol w:w="1701"/>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一、工厂基本信息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工厂地址</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所属行业</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报告编制负责人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负责人电话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三、绿色工厂评价结果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基本</w:t>
            </w:r>
            <w:r>
              <w:rPr>
                <w:rFonts w:hint="default" w:ascii="Times New Roman" w:hAnsi="Times New Roman" w:eastAsia="仿宋" w:cs="Times New Roman"/>
                <w:color w:val="000000"/>
                <w:kern w:val="0"/>
                <w:sz w:val="24"/>
                <w:highlight w:val="none"/>
              </w:rPr>
              <w:t>要求</w:t>
            </w:r>
          </w:p>
        </w:tc>
        <w:tc>
          <w:tcPr>
            <w:tcW w:w="2602"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noWrap w:val="0"/>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指标</w:t>
            </w:r>
            <w:r>
              <w:rPr>
                <w:rFonts w:hint="default" w:ascii="Times New Roman" w:hAnsi="Times New Roman" w:eastAsia="仿宋" w:cs="Times New Roman"/>
                <w:color w:val="000000"/>
                <w:kern w:val="0"/>
                <w:sz w:val="24"/>
                <w:highlight w:val="none"/>
                <w:lang w:eastAsia="zh-CN"/>
              </w:rPr>
              <w:t>得分</w:t>
            </w:r>
          </w:p>
        </w:tc>
        <w:tc>
          <w:tcPr>
            <w:tcW w:w="2318" w:type="dxa"/>
            <w:noWrap w:val="0"/>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901" w:type="dxa"/>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亮点</w:t>
            </w:r>
          </w:p>
        </w:tc>
        <w:tc>
          <w:tcPr>
            <w:tcW w:w="6621" w:type="dxa"/>
            <w:gridSpan w:val="3"/>
            <w:noWrap w:val="0"/>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4"/>
            <w:noWrap w:val="0"/>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结论证据充分，真实、准确的反映了评价过程的发现，严谨的出具结论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jc w:val="center"/>
              <w:rPr>
                <w:rFonts w:hint="default" w:ascii="Times New Roman" w:hAnsi="Times New Roman" w:eastAsia="仿宋" w:cs="Times New Roman"/>
                <w:color w:val="000000"/>
                <w:kern w:val="0"/>
                <w:sz w:val="24"/>
                <w:highlight w:val="none"/>
              </w:rPr>
            </w:pPr>
          </w:p>
        </w:tc>
      </w:tr>
    </w:tbl>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sz w:val="44"/>
          <w:szCs w:val="44"/>
          <w:highlight w:val="none"/>
        </w:rPr>
        <w:br w:type="page"/>
      </w:r>
    </w:p>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绿色工厂评价报告（格式）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主要介绍绿色工厂评价的目的、范围及准则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第三方应按以下内容对申报工厂材料进行评价：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1、对工厂申报基本要求的核查情况；</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对工厂</w:t>
      </w:r>
      <w:r>
        <w:rPr>
          <w:rFonts w:hint="default" w:ascii="Times New Roman" w:hAnsi="Times New Roman" w:eastAsia="仿宋" w:cs="Times New Roman"/>
          <w:sz w:val="30"/>
          <w:szCs w:val="30"/>
          <w:highlight w:val="none"/>
          <w:lang w:val="en-US" w:eastAsia="zh-CN"/>
        </w:rPr>
        <w:t>自评价</w:t>
      </w:r>
      <w:r>
        <w:rPr>
          <w:rFonts w:hint="default" w:ascii="Times New Roman" w:hAnsi="Times New Roman" w:eastAsia="仿宋" w:cs="Times New Roman"/>
          <w:sz w:val="30"/>
          <w:szCs w:val="30"/>
          <w:highlight w:val="none"/>
        </w:rPr>
        <w:t>报告</w:t>
      </w:r>
      <w:r>
        <w:rPr>
          <w:rFonts w:hint="default" w:ascii="Times New Roman" w:hAnsi="Times New Roman" w:eastAsia="仿宋" w:cs="Times New Roman"/>
          <w:sz w:val="30"/>
          <w:szCs w:val="30"/>
          <w:highlight w:val="none"/>
          <w:lang w:val="en-US" w:eastAsia="zh-CN"/>
        </w:rPr>
        <w:t>中</w:t>
      </w:r>
      <w:r>
        <w:rPr>
          <w:rFonts w:hint="default" w:ascii="Times New Roman" w:hAnsi="Times New Roman" w:eastAsia="仿宋" w:cs="Times New Roman"/>
          <w:sz w:val="30"/>
          <w:szCs w:val="30"/>
          <w:highlight w:val="none"/>
        </w:rPr>
        <w:t>基础设施、管理体系、能源</w:t>
      </w:r>
      <w:r>
        <w:rPr>
          <w:rFonts w:hint="default" w:ascii="Times New Roman" w:hAnsi="Times New Roman" w:eastAsia="仿宋" w:cs="Times New Roman"/>
          <w:sz w:val="30"/>
          <w:szCs w:val="30"/>
          <w:highlight w:val="none"/>
          <w:lang w:eastAsia="zh-CN"/>
        </w:rPr>
        <w:t>与</w:t>
      </w:r>
      <w:r>
        <w:rPr>
          <w:rFonts w:hint="default" w:ascii="Times New Roman" w:hAnsi="Times New Roman" w:eastAsia="仿宋" w:cs="Times New Roman"/>
          <w:sz w:val="30"/>
          <w:szCs w:val="30"/>
          <w:highlight w:val="none"/>
        </w:rPr>
        <w:t>资源投入、产品、环境排放、绩效等方面内容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default" w:ascii="Times New Roman" w:hAnsi="Times New Roman" w:eastAsia="仿宋" w:cs="Times New Roman"/>
          <w:sz w:val="30"/>
          <w:szCs w:val="30"/>
          <w:highlight w:val="none"/>
        </w:rPr>
        <w:t>；</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工厂</w:t>
      </w:r>
      <w:r>
        <w:rPr>
          <w:rFonts w:hint="default" w:ascii="Times New Roman" w:hAnsi="Times New Roman" w:eastAsia="仿宋" w:cs="Times New Roman"/>
          <w:sz w:val="30"/>
          <w:szCs w:val="30"/>
          <w:highlight w:val="none"/>
        </w:rPr>
        <w:t>自</w:t>
      </w:r>
      <w:r>
        <w:rPr>
          <w:rFonts w:hint="default" w:ascii="Times New Roman" w:hAnsi="Times New Roman" w:eastAsia="仿宋" w:cs="Times New Roman"/>
          <w:sz w:val="30"/>
          <w:szCs w:val="30"/>
          <w:highlight w:val="none"/>
          <w:lang w:val="en-US" w:eastAsia="zh-CN"/>
        </w:rPr>
        <w:t>评价过程中</w:t>
      </w:r>
      <w:r>
        <w:rPr>
          <w:rFonts w:hint="default" w:ascii="Times New Roman" w:hAnsi="Times New Roman" w:eastAsia="仿宋" w:cs="Times New Roman"/>
          <w:sz w:val="30"/>
          <w:szCs w:val="30"/>
          <w:highlight w:val="none"/>
        </w:rPr>
        <w:t>所出现的问题情况进行描述。</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对申报工厂是否符合绿色工厂要求进行评价，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对工厂持续创建绿色工厂的下一步工作提出建议。</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六、参考文件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2.1及附表2.2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七、第三方机构资质符合性证明材料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ind w:firstLine="0" w:firstLineChars="0"/>
        <w:rPr>
          <w:rFonts w:hint="default" w:ascii="Times New Roman" w:hAnsi="Times New Roman" w:eastAsia="仿宋_GB2312" w:cs="Times New Roman"/>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ind w:firstLine="0" w:firstLineChars="0"/>
        <w:rPr>
          <w:rFonts w:hint="default" w:ascii="Times New Roman" w:hAnsi="Times New Roman" w:eastAsia="仿宋" w:cs="Times New Roman"/>
        </w:rPr>
      </w:pP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746"/>
        <w:gridCol w:w="6689"/>
        <w:gridCol w:w="1392"/>
        <w:gridCol w:w="4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70" w:hRule="atLeast"/>
          <w:tblHeader/>
        </w:trPr>
        <w:tc>
          <w:tcPr>
            <w:tcW w:w="8435" w:type="dxa"/>
            <w:gridSpan w:val="2"/>
            <w:noWrap w:val="0"/>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基本要求</w:t>
            </w:r>
          </w:p>
        </w:tc>
        <w:tc>
          <w:tcPr>
            <w:tcW w:w="1392" w:type="dxa"/>
            <w:noWrap w:val="0"/>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是否符合</w:t>
            </w:r>
          </w:p>
        </w:tc>
        <w:tc>
          <w:tcPr>
            <w:tcW w:w="428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10" w:hRule="atLeast"/>
        </w:trPr>
        <w:tc>
          <w:tcPr>
            <w:tcW w:w="1746" w:type="dxa"/>
            <w:vMerge w:val="restart"/>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w:t>
            </w:r>
            <w:r>
              <w:rPr>
                <w:rFonts w:hint="default" w:ascii="Times New Roman" w:hAnsi="Times New Roman" w:eastAsia="仿宋" w:cs="Times New Roman"/>
                <w:sz w:val="24"/>
                <w:szCs w:val="24"/>
                <w:highlight w:val="none"/>
              </w:rPr>
              <w:t>合规性与相关方要求</w:t>
            </w: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绿色工厂应依法设立，在建设和生产过程中应遵守有关法律、法规、政策和标准。</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45"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近三年（含成立不足三年）无较大及以上安全、环保、质量等事故。</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对利益相关方的环境要求做出承诺的，应同时满足有关承诺的要求。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基础管理职责——最高管理者</w:t>
            </w: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val="en-US" w:eastAsia="zh-CN"/>
              </w:rPr>
              <w:t>最高管理者在绿色工厂方面的领导作用和承诺满足GB/T 36132中4.3.1 a)的要求。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eastAsia="zh-CN"/>
              </w:rPr>
              <w:t>最高管理者</w:t>
            </w:r>
            <w:r>
              <w:rPr>
                <w:rFonts w:hint="default" w:ascii="Times New Roman" w:hAnsi="Times New Roman" w:eastAsia="仿宋" w:cs="Times New Roman"/>
                <w:kern w:val="2"/>
                <w:sz w:val="24"/>
                <w:szCs w:val="24"/>
                <w:highlight w:val="none"/>
              </w:rPr>
              <w:t>确保在工厂内部分配并沟通与绿色工厂相关角色的职责和权限</w:t>
            </w:r>
            <w:r>
              <w:rPr>
                <w:rFonts w:hint="default" w:ascii="Times New Roman" w:hAnsi="Times New Roman" w:eastAsia="仿宋" w:cs="Times New Roman"/>
                <w:kern w:val="2"/>
                <w:sz w:val="24"/>
                <w:szCs w:val="24"/>
                <w:highlight w:val="none"/>
                <w:lang w:eastAsia="zh-CN"/>
              </w:rPr>
              <w:t>，且满</w:t>
            </w:r>
            <w:r>
              <w:rPr>
                <w:rFonts w:hint="default" w:ascii="Times New Roman" w:hAnsi="Times New Roman" w:eastAsia="仿宋" w:cs="Times New Roman"/>
                <w:kern w:val="2"/>
                <w:sz w:val="24"/>
                <w:szCs w:val="24"/>
                <w:highlight w:val="none"/>
                <w:lang w:val="en-US" w:eastAsia="zh-CN"/>
              </w:rPr>
              <w:t>足GB/T 36132中4.3.1 b)的要求。</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基础管理职责——工厂</w:t>
            </w:r>
          </w:p>
        </w:tc>
        <w:tc>
          <w:tcPr>
            <w:tcW w:w="6689" w:type="dxa"/>
            <w:noWrap w:val="0"/>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应设有绿色工厂管理机构，负责有关绿色工厂的制度建设、实施、考核及奖励工作，建立目标责任制。</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应有开展绿色</w:t>
            </w:r>
            <w:r>
              <w:rPr>
                <w:rFonts w:hint="default" w:ascii="Times New Roman" w:hAnsi="Times New Roman" w:eastAsia="仿宋" w:cs="Times New Roman"/>
                <w:kern w:val="2"/>
                <w:sz w:val="24"/>
                <w:szCs w:val="24"/>
                <w:highlight w:val="none"/>
                <w:lang w:eastAsia="zh-CN"/>
              </w:rPr>
              <w:t>工厂</w:t>
            </w:r>
            <w:r>
              <w:rPr>
                <w:rFonts w:hint="default" w:ascii="Times New Roman" w:hAnsi="Times New Roman" w:eastAsia="仿宋" w:cs="Times New Roman"/>
                <w:kern w:val="2"/>
                <w:sz w:val="24"/>
                <w:szCs w:val="24"/>
                <w:highlight w:val="none"/>
              </w:rPr>
              <w:t>的中长期规划及年度目标、指标和实施方案。可行时，指标应明确且可量化。</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noWrap w:val="0"/>
            <w:vAlign w:val="center"/>
          </w:tcPr>
          <w:p>
            <w:pPr>
              <w:rPr>
                <w:rFonts w:hint="default" w:ascii="Times New Roman" w:hAnsi="Times New Roman" w:eastAsia="仿宋" w:cs="Times New Roman"/>
                <w:sz w:val="24"/>
                <w:szCs w:val="24"/>
                <w:highlight w:val="none"/>
              </w:rPr>
            </w:pPr>
          </w:p>
        </w:tc>
        <w:tc>
          <w:tcPr>
            <w:tcW w:w="6689" w:type="dxa"/>
            <w:noWrap w:val="0"/>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2"/>
                <w:sz w:val="24"/>
                <w:szCs w:val="24"/>
                <w:highlight w:val="none"/>
                <w:lang w:eastAsia="zh-CN"/>
              </w:rPr>
              <w:t>。</w:t>
            </w:r>
          </w:p>
        </w:tc>
        <w:tc>
          <w:tcPr>
            <w:tcW w:w="1392" w:type="dxa"/>
            <w:noWrap w:val="0"/>
            <w:vAlign w:val="center"/>
          </w:tcPr>
          <w:p>
            <w:pPr>
              <w:rPr>
                <w:rFonts w:hint="default" w:ascii="Times New Roman" w:hAnsi="Times New Roman" w:eastAsia="仿宋" w:cs="Times New Roman"/>
                <w:sz w:val="24"/>
                <w:szCs w:val="24"/>
                <w:highlight w:val="none"/>
              </w:rPr>
            </w:pPr>
          </w:p>
        </w:tc>
        <w:tc>
          <w:tcPr>
            <w:tcW w:w="4281"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bl>
    <w:p>
      <w:pPr>
        <w:ind w:firstLine="0" w:firstLineChars="0"/>
        <w:rPr>
          <w:rFonts w:hint="default" w:ascii="Times New Roman" w:hAnsi="Times New Roman" w:eastAsia="仿宋_GB2312" w:cs="Times New Roman"/>
          <w:sz w:val="30"/>
          <w:szCs w:val="30"/>
          <w:highlight w:val="none"/>
          <w:lang w:val="en-US"/>
        </w:rPr>
      </w:pPr>
      <w:r>
        <w:rPr>
          <w:rFonts w:hint="default" w:ascii="Times New Roman" w:hAnsi="Times New Roman" w:eastAsia="仿宋_GB2312" w:cs="Times New Roman"/>
          <w:sz w:val="30"/>
          <w:szCs w:val="30"/>
          <w:highlight w:val="none"/>
          <w:lang w:eastAsia="zh-CN"/>
        </w:rPr>
        <w:br w:type="page"/>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2.2</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绿色工厂评价指标</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1135"/>
        <w:gridCol w:w="1135"/>
        <w:gridCol w:w="4960"/>
        <w:gridCol w:w="2407"/>
        <w:gridCol w:w="1275"/>
        <w:gridCol w:w="851"/>
        <w:gridCol w:w="711"/>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blHeader/>
        </w:trPr>
        <w:tc>
          <w:tcPr>
            <w:tcW w:w="704" w:type="dxa"/>
            <w:noWrap w:val="0"/>
            <w:vAlign w:val="center"/>
          </w:tcPr>
          <w:p>
            <w:pPr>
              <w:widowControl/>
              <w:jc w:val="center"/>
              <w:rPr>
                <w:rFonts w:hint="default" w:ascii="Times New Roman" w:hAnsi="Times New Roman" w:eastAsia="仿宋" w:cs="Times New Roman"/>
                <w:b/>
                <w:bCs/>
                <w:kern w:val="0"/>
                <w:sz w:val="24"/>
                <w:szCs w:val="24"/>
                <w:highlight w:val="none"/>
              </w:rPr>
            </w:pPr>
            <w:r>
              <w:rPr>
                <w:rFonts w:hint="default" w:ascii="Times New Roman" w:hAnsi="Times New Roman" w:eastAsia="仿宋" w:cs="Times New Roman"/>
                <w:b/>
                <w:bCs/>
                <w:sz w:val="24"/>
                <w:szCs w:val="24"/>
                <w:highlight w:val="none"/>
              </w:rPr>
              <w:t>序号</w:t>
            </w:r>
          </w:p>
        </w:tc>
        <w:tc>
          <w:tcPr>
            <w:tcW w:w="113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一级指标</w:t>
            </w:r>
          </w:p>
        </w:tc>
        <w:tc>
          <w:tcPr>
            <w:tcW w:w="113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二级指标</w:t>
            </w:r>
          </w:p>
        </w:tc>
        <w:tc>
          <w:tcPr>
            <w:tcW w:w="4960"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lang w:eastAsia="zh-CN"/>
              </w:rPr>
              <w:t>具体评价</w:t>
            </w:r>
            <w:r>
              <w:rPr>
                <w:rFonts w:hint="default" w:ascii="Times New Roman" w:hAnsi="Times New Roman" w:eastAsia="仿宋" w:cs="Times New Roman"/>
                <w:b/>
                <w:bCs/>
                <w:sz w:val="24"/>
                <w:szCs w:val="24"/>
                <w:highlight w:val="none"/>
              </w:rPr>
              <w:t>要求</w:t>
            </w:r>
          </w:p>
        </w:tc>
        <w:tc>
          <w:tcPr>
            <w:tcW w:w="2407"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c>
          <w:tcPr>
            <w:tcW w:w="1275"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要求类型</w:t>
            </w:r>
          </w:p>
        </w:tc>
        <w:tc>
          <w:tcPr>
            <w:tcW w:w="85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分值</w:t>
            </w:r>
          </w:p>
        </w:tc>
        <w:tc>
          <w:tcPr>
            <w:tcW w:w="711"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权重</w:t>
            </w:r>
          </w:p>
        </w:tc>
        <w:tc>
          <w:tcPr>
            <w:tcW w:w="770" w:type="dxa"/>
            <w:noWrap w:val="0"/>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基础设施</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工厂的建筑应满足国家或地方相关法律法规及标准的要求。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新建、改建和扩建建筑时，应遵守国家“固定资产投资项目节能评估审查制度”、“三同时制度”、“工业项目建设用地控制指标”等产业政策和有关要求。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厂房内部装饰装修材料中醛、苯、氨、氡等有害物质</w:t>
            </w:r>
            <w:r>
              <w:rPr>
                <w:rFonts w:hint="default" w:ascii="Times New Roman" w:hAnsi="Times New Roman" w:eastAsia="仿宋" w:cs="Times New Roman"/>
                <w:sz w:val="24"/>
                <w:szCs w:val="24"/>
                <w:highlight w:val="none"/>
                <w:lang w:eastAsia="zh-CN"/>
              </w:rPr>
              <w:t>应</w:t>
            </w:r>
            <w:r>
              <w:rPr>
                <w:rFonts w:hint="default" w:ascii="Times New Roman" w:hAnsi="Times New Roman" w:eastAsia="仿宋" w:cs="Times New Roman"/>
                <w:sz w:val="24"/>
                <w:szCs w:val="24"/>
                <w:highlight w:val="none"/>
              </w:rPr>
              <w:t>符合国家和地方法律、标准要求。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危险品仓库、有毒有害操作间、废弃物处理间等产生污染物的房间应独立设置。</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建筑结构：采用钢结构、砌体结构和木结构等资源消耗和环境影响小的建筑结构体系。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再生资源及能源利用：（1）可再生能源的使用占建筑总能耗的比例大于10%；（2）采用节水器具和设备，节水率不低于10%。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适用时，工厂的厂房采用多层建筑。</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照明</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人工照明</w:t>
            </w:r>
            <w:r>
              <w:rPr>
                <w:rFonts w:hint="default" w:ascii="Times New Roman" w:hAnsi="Times New Roman" w:eastAsia="仿宋" w:cs="Times New Roman"/>
                <w:kern w:val="0"/>
                <w:sz w:val="24"/>
                <w:highlight w:val="none"/>
              </w:rPr>
              <w:t>应符合GB 50034规定。</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7</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工厂厂区及各房间或场所的照明尽量利用自然光。</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工艺适用时，节能灯等节能型照明设备的使用占比不低于50%。</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公共场所的照明采取分区、分组与定时自动调光等措施。</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设备</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设施</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设备应达到相关标准中能效限定值的强制性要求。已明令禁止生产、使用的和能耗高、效率低的设备应限期淘汰更新</w:t>
            </w:r>
            <w:r>
              <w:rPr>
                <w:rFonts w:hint="default" w:ascii="Times New Roman" w:hAnsi="Times New Roman" w:eastAsia="仿宋" w:cs="Times New Roman"/>
                <w:kern w:val="0"/>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pStyle w:val="13"/>
              <w:autoSpaceDE w:val="0"/>
              <w:autoSpaceDN w:val="0"/>
              <w:adjustRightInd w:val="0"/>
              <w:spacing w:before="0" w:beforeLines="0" w:beforeAutospacing="0" w:after="0" w:afterLines="0" w:afterAutospacing="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Cs w:val="22"/>
                <w:highlight w:val="none"/>
              </w:rPr>
              <w:t>工厂应依据GB 17167、GB24789等要求配备、使用和管理能源、水以及其他资源的计量器具和装置。</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lang w:eastAsia="zh-CN"/>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工厂使用的通用用能设备采用了节能型产品或效率高、能耗低、水耗低、物耗低的产品。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管理体系</w:t>
            </w: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一般</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要求</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19001的要求的质量管理体系。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通过质量管理体系第三方认证。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28001要求的职业健康安全管理体系。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通过职业健康安全管理体系第三方认证。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环境管理体系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24001要求的环境管理体系。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通过环境管理体系第三方认证。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能源管理体系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23331要求的能源管理体系。</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通过能源管理体系第三方认证。</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社会</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责任</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每年发布社会责任报告，说明履行利益相关方责任的情况，特别是环境社会责任的履行情况，报告公开可获得。</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能源资源投入</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highlight w:val="none"/>
                <w:lang w:val="en-US" w:eastAsia="zh-CN"/>
              </w:rPr>
              <w:t>工厂应优化用能结构，在保证安全、质量的前提下减少不可再生能源投入。</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2407" w:type="dxa"/>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资源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noWrap w:val="0"/>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工厂应减少材料、尤其是有害物质的使用</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评估有害物质及化学品减量使用或替代的可行性</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采购</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工厂应制定并实施包括环保要求的选择、评价和重新评价供方的准则</w:t>
            </w:r>
            <w:r>
              <w:rPr>
                <w:rFonts w:hint="default" w:ascii="Times New Roman" w:hAnsi="Times New Roman" w:eastAsia="仿宋" w:cs="Times New Roman"/>
                <w:sz w:val="24"/>
                <w:szCs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工厂向供方提供的采购信息包含有害物质使用、可回收材料使用、能效等环保要求。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满足绿色供应链评价要求。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产品</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生态</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设计</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30</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按照GB/T 24256对生产的产品进行生态设计</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32161对生产的产品进行生态设计产品评价，满足绿色产品（生态设计产品）评价要求。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有害物质使用</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w:t>
            </w:r>
            <w:r>
              <w:rPr>
                <w:rFonts w:hint="default" w:ascii="Times New Roman" w:hAnsi="Times New Roman" w:eastAsia="仿宋" w:cs="Times New Roman"/>
                <w:sz w:val="24"/>
                <w:szCs w:val="24"/>
                <w:highlight w:val="none"/>
                <w:lang w:eastAsia="zh-CN"/>
              </w:rPr>
              <w:t>（包括原料和辅料）</w:t>
            </w:r>
            <w:r>
              <w:rPr>
                <w:rFonts w:hint="default" w:ascii="Times New Roman" w:hAnsi="Times New Roman" w:eastAsia="仿宋" w:cs="Times New Roman"/>
                <w:sz w:val="24"/>
                <w:szCs w:val="24"/>
                <w:highlight w:val="none"/>
              </w:rPr>
              <w:t>应减少有害物质的使用，避免有害物质的泄露，满足国家对产品中有害物质限制使用的要求。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节能</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未制定标准的，产品能效应不低于行业平均值。</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r>
              <w:rPr>
                <w:rFonts w:hint="default" w:ascii="Times New Roman" w:hAnsi="Times New Roman" w:eastAsia="仿宋" w:cs="Times New Roman"/>
                <w:sz w:val="24"/>
                <w:szCs w:val="24"/>
                <w:highlight w:val="none"/>
              </w:rPr>
              <w:t>（适用时）</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达到</w:t>
            </w:r>
            <w:r>
              <w:rPr>
                <w:rFonts w:hint="default" w:ascii="Times New Roman" w:hAnsi="Times New Roman" w:eastAsia="仿宋" w:cs="Times New Roman"/>
                <w:kern w:val="0"/>
                <w:sz w:val="24"/>
                <w:highlight w:val="none"/>
                <w:lang w:eastAsia="zh-CN"/>
              </w:rPr>
              <w:t>相关</w:t>
            </w:r>
            <w:r>
              <w:rPr>
                <w:rFonts w:hint="default" w:ascii="Times New Roman" w:hAnsi="Times New Roman" w:eastAsia="仿宋" w:cs="Times New Roman"/>
                <w:kern w:val="0"/>
                <w:sz w:val="24"/>
                <w:highlight w:val="none"/>
              </w:rPr>
              <w:t>标准中的</w:t>
            </w:r>
            <w:r>
              <w:rPr>
                <w:rFonts w:hint="default" w:ascii="Times New Roman" w:hAnsi="Times New Roman" w:eastAsia="仿宋" w:cs="Times New Roman"/>
                <w:kern w:val="0"/>
                <w:sz w:val="24"/>
                <w:highlight w:val="none"/>
                <w:lang w:eastAsia="zh-CN"/>
              </w:rPr>
              <w:t>节能评价值</w:t>
            </w:r>
            <w:r>
              <w:rPr>
                <w:rFonts w:hint="default" w:ascii="Times New Roman" w:hAnsi="Times New Roman" w:eastAsia="仿宋" w:cs="Times New Roman"/>
                <w:kern w:val="0"/>
                <w:sz w:val="24"/>
                <w:highlight w:val="none"/>
                <w:lang w:val="en-US" w:eastAsia="zh-CN"/>
              </w:rPr>
              <w:t>/</w:t>
            </w:r>
            <w:r>
              <w:rPr>
                <w:rFonts w:hint="default" w:ascii="Times New Roman" w:hAnsi="Times New Roman" w:eastAsia="仿宋" w:cs="Times New Roman"/>
                <w:kern w:val="0"/>
                <w:sz w:val="24"/>
                <w:highlight w:val="none"/>
                <w:lang w:eastAsia="zh-CN"/>
              </w:rPr>
              <w:t>先进</w:t>
            </w:r>
            <w:r>
              <w:rPr>
                <w:rFonts w:hint="default" w:ascii="Times New Roman" w:hAnsi="Times New Roman" w:eastAsia="仿宋" w:cs="Times New Roman"/>
                <w:kern w:val="0"/>
                <w:sz w:val="24"/>
                <w:highlight w:val="none"/>
              </w:rPr>
              <w:t>值要求，未制定标准的，产品能效达到行业前20%的水平</w:t>
            </w:r>
            <w:r>
              <w:rPr>
                <w:rFonts w:hint="default" w:ascii="Times New Roman" w:hAnsi="Times New Roman" w:eastAsia="仿宋" w:cs="Times New Roman"/>
                <w:kern w:val="0"/>
                <w:sz w:val="24"/>
                <w:highlight w:val="none"/>
                <w:lang w:eastAsia="zh-CN"/>
              </w:rPr>
              <w:t>，前</w:t>
            </w:r>
            <w:r>
              <w:rPr>
                <w:rFonts w:hint="default" w:ascii="Times New Roman" w:hAnsi="Times New Roman" w:eastAsia="仿宋" w:cs="Times New Roman"/>
                <w:kern w:val="0"/>
                <w:sz w:val="24"/>
                <w:highlight w:val="none"/>
                <w:lang w:val="en-US" w:eastAsia="zh-CN"/>
              </w:rPr>
              <w:t>5%为满分</w:t>
            </w:r>
            <w:r>
              <w:rPr>
                <w:rFonts w:hint="default" w:ascii="Times New Roman" w:hAnsi="Times New Roman" w:eastAsia="仿宋" w:cs="Times New Roman"/>
                <w:kern w:val="0"/>
                <w:sz w:val="24"/>
                <w:highlight w:val="none"/>
              </w:rPr>
              <w:t>。</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r>
              <w:rPr>
                <w:rFonts w:hint="default" w:ascii="Times New Roman" w:hAnsi="Times New Roman" w:eastAsia="仿宋" w:cs="Times New Roman"/>
                <w:sz w:val="24"/>
                <w:szCs w:val="24"/>
                <w:highlight w:val="none"/>
              </w:rPr>
              <w:t>（适用时）</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减碳</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采用适用的标准或规范对产品进行碳足迹核算或核查。</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利用核算或核查结果对其产品的碳足迹进行改善。</w:t>
            </w:r>
            <w:r>
              <w:rPr>
                <w:rFonts w:hint="default" w:ascii="Times New Roman" w:hAnsi="Times New Roman" w:eastAsia="仿宋" w:cs="Times New Roman"/>
                <w:kern w:val="0"/>
                <w:sz w:val="24"/>
                <w:highlight w:val="none"/>
                <w:lang w:eastAsia="zh-CN"/>
              </w:rPr>
              <w:t>核算</w:t>
            </w:r>
            <w:r>
              <w:rPr>
                <w:rFonts w:hint="default" w:ascii="Times New Roman" w:hAnsi="Times New Roman" w:eastAsia="仿宋" w:cs="Times New Roman"/>
                <w:kern w:val="0"/>
                <w:sz w:val="24"/>
                <w:highlight w:val="none"/>
              </w:rPr>
              <w:t>或核查结果对外公布。</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适用时，产品满足相关低碳产品要求。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可回收利用率</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noWrap w:val="0"/>
            <w:vAlign w:val="center"/>
          </w:tcPr>
          <w:p>
            <w:pPr>
              <w:jc w:val="center"/>
              <w:rPr>
                <w:rFonts w:hint="default" w:ascii="Times New Roman" w:hAnsi="Times New Roman" w:eastAsia="仿宋" w:cs="Times New Roman"/>
                <w:sz w:val="24"/>
                <w:szCs w:val="24"/>
                <w:highlight w:val="none"/>
              </w:rPr>
            </w:pP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5</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环境排放</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大气污染物</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jc w:val="cente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jc w:val="cente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水体污染物</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autoSpaceDE w:val="0"/>
              <w:autoSpaceDN w:val="0"/>
              <w:adjustRightInd w:val="0"/>
              <w:jc w:val="both"/>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固体废</w:t>
            </w:r>
            <w:r>
              <w:rPr>
                <w:rFonts w:hint="default" w:ascii="Times New Roman" w:hAnsi="Times New Roman" w:eastAsia="仿宋" w:cs="Times New Roman"/>
                <w:sz w:val="24"/>
                <w:szCs w:val="24"/>
                <w:highlight w:val="none"/>
                <w:lang w:eastAsia="zh-CN"/>
              </w:rPr>
              <w:t>弃</w:t>
            </w:r>
            <w:r>
              <w:rPr>
                <w:rFonts w:hint="default" w:ascii="Times New Roman" w:hAnsi="Times New Roman" w:eastAsia="仿宋" w:cs="Times New Roman"/>
                <w:sz w:val="24"/>
                <w:szCs w:val="24"/>
                <w:highlight w:val="none"/>
              </w:rPr>
              <w:t>物</w:t>
            </w: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噪声</w:t>
            </w:r>
          </w:p>
        </w:tc>
        <w:tc>
          <w:tcPr>
            <w:tcW w:w="4960" w:type="dxa"/>
            <w:noWrap w:val="0"/>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温室</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气体</w:t>
            </w:r>
          </w:p>
        </w:tc>
        <w:tc>
          <w:tcPr>
            <w:tcW w:w="4960" w:type="dxa"/>
            <w:noWrap w:val="0"/>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获得温室气体排放量第三方核查声明。</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核查结果对外公布。</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可行时，利用核算或核查结果对其温室气体的排放进行改善。</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绩效</w:t>
            </w: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用地集约化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应不低于《工业项目建设用地控制指标》的要求。</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30%</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达到《工业项目建设用地控制指标》要求的1.2倍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36132附录A计算工厂建筑密度，建筑密度不低于30%。</w:t>
            </w:r>
          </w:p>
        </w:tc>
        <w:tc>
          <w:tcPr>
            <w:tcW w:w="2407" w:type="dxa"/>
            <w:vMerge w:val="restart"/>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w:t>
            </w:r>
            <w:r>
              <w:rPr>
                <w:rFonts w:hint="default" w:ascii="Times New Roman" w:hAnsi="Times New Roman" w:eastAsia="仿宋" w:cs="Times New Roman"/>
                <w:sz w:val="24"/>
                <w:szCs w:val="24"/>
                <w:highlight w:val="none"/>
                <w:lang w:eastAsia="zh-CN"/>
              </w:rPr>
              <w:t>达到</w:t>
            </w:r>
            <w:r>
              <w:rPr>
                <w:rFonts w:hint="default" w:ascii="Times New Roman" w:hAnsi="Times New Roman" w:eastAsia="仿宋" w:cs="Times New Roman"/>
                <w:sz w:val="24"/>
                <w:szCs w:val="24"/>
                <w:highlight w:val="none"/>
                <w:lang w:val="en-US" w:eastAsia="zh-CN"/>
              </w:rPr>
              <w:t>4</w:t>
            </w:r>
            <w:r>
              <w:rPr>
                <w:rFonts w:hint="default" w:ascii="Times New Roman" w:hAnsi="Times New Roman" w:eastAsia="仿宋" w:cs="Times New Roman"/>
                <w:sz w:val="24"/>
                <w:szCs w:val="24"/>
                <w:highlight w:val="none"/>
              </w:rPr>
              <w:t>0%。</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工厂的单位用地面积产能应不低于行业平均水平</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或：工厂的单位用地面积产值不低于地方发布的单位用地面积产值的要求；未发布单位用地面积产值的地区，单位用地面积产值应超过本年度所在省市的单位用地面积产值</w:t>
            </w:r>
            <w:r>
              <w:rPr>
                <w:rFonts w:hint="default" w:ascii="Times New Roman" w:hAnsi="Times New Roman" w:eastAsia="仿宋" w:cs="Times New Roman"/>
                <w:sz w:val="24"/>
                <w:szCs w:val="24"/>
                <w:highlight w:val="none"/>
                <w:lang w:eastAsia="zh-CN"/>
              </w:rPr>
              <w:t>。</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工厂的单位用地面积产能指标优于行业前20%</w:t>
            </w:r>
            <w:r>
              <w:rPr>
                <w:rFonts w:hint="default" w:ascii="Times New Roman" w:hAnsi="Times New Roman" w:eastAsia="仿宋" w:cs="Times New Roman"/>
                <w:sz w:val="24"/>
                <w:szCs w:val="24"/>
                <w:highlight w:val="none"/>
                <w:lang w:eastAsia="zh-CN"/>
              </w:rPr>
              <w:t>，前</w:t>
            </w:r>
            <w:r>
              <w:rPr>
                <w:rFonts w:hint="default" w:ascii="Times New Roman" w:hAnsi="Times New Roman" w:eastAsia="仿宋" w:cs="Times New Roman"/>
                <w:sz w:val="24"/>
                <w:szCs w:val="24"/>
                <w:highlight w:val="none"/>
                <w:lang w:val="en-US" w:eastAsia="zh-CN"/>
              </w:rPr>
              <w:t>5%为满分</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或：单位用地面积产值达到地方发布的单位用地面积产值的要求的1.</w:t>
            </w: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rPr>
              <w:t>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rPr>
              <w:t>；未发布单位用地面积产值的地区，单位用地面积产值应达到本年度所在省市的单位用地面积产值1.2倍及以上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lang w:eastAsia="zh-CN"/>
              </w:rPr>
              <w:t>。</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原料无害化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36132附录A识别、统计和计算工厂的绿色物料使用情况。</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w:t>
            </w:r>
            <w:r>
              <w:rPr>
                <w:rFonts w:hint="default" w:ascii="Times New Roman" w:hAnsi="Times New Roman" w:eastAsia="仿宋" w:cs="Times New Roman"/>
                <w:sz w:val="24"/>
                <w:szCs w:val="24"/>
                <w:highlight w:val="none"/>
                <w:lang w:eastAsia="zh-CN"/>
              </w:rPr>
              <w:t>计算工厂主要物料的绿</w:t>
            </w:r>
            <w:r>
              <w:rPr>
                <w:rFonts w:hint="default" w:ascii="Times New Roman" w:hAnsi="Times New Roman" w:eastAsia="仿宋" w:cs="Times New Roman"/>
                <w:sz w:val="24"/>
                <w:szCs w:val="24"/>
                <w:highlight w:val="none"/>
              </w:rPr>
              <w:t>色物料使用率达30%及以上。</w:t>
            </w:r>
          </w:p>
        </w:tc>
        <w:tc>
          <w:tcPr>
            <w:tcW w:w="2407"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生产洁净化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废物资源化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应大于65%（根据行业特点，该指标可在±20%之间选取）。</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达到73%（根据行业特点，该指标可在±20%之间选取），90%为满分。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高于行业平均值。</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jc w:val="cente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restart"/>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能源低碳化</w:t>
            </w: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应符合相关国家、行业标准中的限额要求。未制定相关标准的，应达到行业平均水平。（装备、电子、电器等离散制造业可采用单位产值或单位工业增加值指标。）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达到相关国家、行业标准中的先进值要求。未制定相关标准的，应优于行业前20%水平。（装备、电子、电器等离散制造业可采用单位产值或单位工业增加值指标。）前5%为满分。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应优于行业平均水平。（装备、电子、电器等离散制造业可采用单位产值或单位工业增加值指标。）</w:t>
            </w:r>
          </w:p>
        </w:tc>
        <w:tc>
          <w:tcPr>
            <w:tcW w:w="2407" w:type="dxa"/>
            <w:vMerge w:val="restart"/>
            <w:noWrap w:val="0"/>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1135" w:type="dxa"/>
            <w:vMerge w:val="continue"/>
            <w:noWrap w:val="0"/>
            <w:vAlign w:val="center"/>
          </w:tcPr>
          <w:p>
            <w:pPr>
              <w:rPr>
                <w:rFonts w:hint="default" w:ascii="Times New Roman" w:hAnsi="Times New Roman" w:eastAsia="仿宋" w:cs="Times New Roman"/>
                <w:sz w:val="24"/>
                <w:szCs w:val="24"/>
                <w:highlight w:val="none"/>
              </w:rPr>
            </w:pPr>
          </w:p>
        </w:tc>
        <w:tc>
          <w:tcPr>
            <w:tcW w:w="4960" w:type="dxa"/>
            <w:noWrap w:val="0"/>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noWrap w:val="0"/>
            <w:vAlign w:val="center"/>
          </w:tcPr>
          <w:p>
            <w:pPr>
              <w:rPr>
                <w:rFonts w:hint="default" w:ascii="Times New Roman" w:hAnsi="Times New Roman" w:eastAsia="仿宋" w:cs="Times New Roman"/>
                <w:sz w:val="24"/>
                <w:szCs w:val="24"/>
                <w:highlight w:val="none"/>
              </w:rPr>
            </w:pPr>
          </w:p>
        </w:tc>
        <w:tc>
          <w:tcPr>
            <w:tcW w:w="1275"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noWrap w:val="0"/>
            <w:vAlign w:val="center"/>
          </w:tcPr>
          <w:p>
            <w:pPr>
              <w:rPr>
                <w:rFonts w:hint="default" w:ascii="Times New Roman" w:hAnsi="Times New Roman" w:eastAsia="仿宋" w:cs="Times New Roman"/>
                <w:sz w:val="24"/>
                <w:szCs w:val="24"/>
                <w:highlight w:val="none"/>
              </w:rPr>
            </w:pPr>
          </w:p>
        </w:tc>
        <w:tc>
          <w:tcPr>
            <w:tcW w:w="770" w:type="dxa"/>
            <w:noWrap w:val="0"/>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13178" w:type="dxa"/>
            <w:gridSpan w:val="8"/>
            <w:noWrap w:val="0"/>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总分</w:t>
            </w:r>
          </w:p>
        </w:tc>
        <w:tc>
          <w:tcPr>
            <w:tcW w:w="770" w:type="dxa"/>
            <w:noWrap w:val="0"/>
            <w:vAlign w:val="center"/>
          </w:tcPr>
          <w:p>
            <w:pPr>
              <w:jc w:val="left"/>
              <w:rPr>
                <w:rFonts w:hint="default" w:ascii="Times New Roman" w:hAnsi="Times New Roman" w:eastAsia="仿宋" w:cs="Times New Roman"/>
                <w:color w:val="000000"/>
                <w:sz w:val="24"/>
                <w:szCs w:val="24"/>
                <w:highlight w:val="none"/>
              </w:rPr>
            </w:pPr>
          </w:p>
        </w:tc>
      </w:tr>
    </w:tbl>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注</w:t>
      </w: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zh-CN"/>
        </w:rPr>
        <w:t>：绿色工厂必须满足各项必选要求，可选要求按照受评工厂满足程度在</w:t>
      </w:r>
      <w:r>
        <w:rPr>
          <w:rFonts w:hint="default" w:ascii="Times New Roman" w:hAnsi="Times New Roman" w:eastAsia="仿宋" w:cs="Times New Roman"/>
          <w:sz w:val="24"/>
          <w:szCs w:val="24"/>
          <w:highlight w:val="none"/>
          <w:lang w:val="en-US" w:eastAsia="zh-CN"/>
        </w:rPr>
        <w:t>0分到满分中取值</w:t>
      </w:r>
      <w:r>
        <w:rPr>
          <w:rFonts w:hint="default" w:ascii="Times New Roman" w:hAnsi="Times New Roman" w:eastAsia="仿宋" w:cs="Times New Roman"/>
          <w:sz w:val="24"/>
          <w:szCs w:val="24"/>
          <w:highlight w:val="none"/>
          <w:lang w:eastAsia="zh-CN"/>
        </w:rPr>
        <w:t>。</w:t>
      </w:r>
    </w:p>
    <w:p>
      <w:pP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注2：凡符合“绿色工厂行业标准清单”的工厂，请根据清单中的标准自行设计该表格。</w:t>
      </w:r>
    </w:p>
    <w:p>
      <w:pPr>
        <w:snapToGrid/>
        <w:spacing w:line="240" w:lineRule="auto"/>
        <w:jc w:val="center"/>
        <w:outlineLvl w:val="9"/>
        <w:rPr>
          <w:rFonts w:hint="default" w:ascii="Times New Roman" w:hAnsi="Times New Roman" w:eastAsia="仿宋_GB2312" w:cs="Times New Roman"/>
          <w:kern w:val="2"/>
          <w:sz w:val="24"/>
          <w:szCs w:val="24"/>
          <w:highlight w:val="none"/>
          <w:lang w:val="en-US" w:eastAsia="zh-CN" w:bidi="ar-SA"/>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fldChar w:fldCharType="begin"/>
                    </w:r>
                    <w:r>
                      <w:rPr>
                        <w:rFonts w:hint="default" w:ascii="Times New Roman" w:hAnsi="Times New Roman" w:eastAsia="仿宋" w:cs="Times New Roman"/>
                        <w:sz w:val="21"/>
                        <w:szCs w:val="21"/>
                        <w:lang w:eastAsia="zh-CN"/>
                      </w:rPr>
                      <w:instrText xml:space="preserve"> PAGE  \* MERGEFORMAT </w:instrText>
                    </w:r>
                    <w:r>
                      <w:rPr>
                        <w:rFonts w:hint="default" w:ascii="Times New Roman" w:hAnsi="Times New Roman" w:eastAsia="仿宋" w:cs="Times New Roman"/>
                        <w:sz w:val="21"/>
                        <w:szCs w:val="21"/>
                        <w:lang w:eastAsia="zh-CN"/>
                      </w:rPr>
                      <w:fldChar w:fldCharType="separate"/>
                    </w:r>
                    <w:r>
                      <w:t>1</w:t>
                    </w:r>
                    <w:r>
                      <w:rPr>
                        <w:rFonts w:hint="default" w:ascii="Times New Roman" w:hAnsi="Times New Roman" w:eastAsia="仿宋" w:cs="Times New Roman"/>
                        <w:sz w:val="21"/>
                        <w:szCs w:val="21"/>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1NmFkYjM2ZjVlNjlhYTExODFlMTExZDY5YzQ0NzkifQ=="/>
  </w:docVars>
  <w:rsids>
    <w:rsidRoot w:val="201B3F96"/>
    <w:rsid w:val="00005523"/>
    <w:rsid w:val="0001722D"/>
    <w:rsid w:val="00022BD1"/>
    <w:rsid w:val="000278B6"/>
    <w:rsid w:val="000D4244"/>
    <w:rsid w:val="0012309A"/>
    <w:rsid w:val="001654DA"/>
    <w:rsid w:val="00170F78"/>
    <w:rsid w:val="0017297A"/>
    <w:rsid w:val="00193C00"/>
    <w:rsid w:val="00222662"/>
    <w:rsid w:val="00295E51"/>
    <w:rsid w:val="002B211F"/>
    <w:rsid w:val="002C7F92"/>
    <w:rsid w:val="002D6988"/>
    <w:rsid w:val="00311E70"/>
    <w:rsid w:val="0032037C"/>
    <w:rsid w:val="003E1766"/>
    <w:rsid w:val="00444A34"/>
    <w:rsid w:val="004A1DB1"/>
    <w:rsid w:val="004C52FB"/>
    <w:rsid w:val="004D5A03"/>
    <w:rsid w:val="00512562"/>
    <w:rsid w:val="005268B7"/>
    <w:rsid w:val="0057187A"/>
    <w:rsid w:val="005A22FB"/>
    <w:rsid w:val="005B4994"/>
    <w:rsid w:val="00614F34"/>
    <w:rsid w:val="00644D49"/>
    <w:rsid w:val="00651918"/>
    <w:rsid w:val="006857FF"/>
    <w:rsid w:val="006A713A"/>
    <w:rsid w:val="006C2248"/>
    <w:rsid w:val="0070375B"/>
    <w:rsid w:val="00736131"/>
    <w:rsid w:val="007649A6"/>
    <w:rsid w:val="00784D50"/>
    <w:rsid w:val="007B0F18"/>
    <w:rsid w:val="007D5EF2"/>
    <w:rsid w:val="008029F3"/>
    <w:rsid w:val="0081107E"/>
    <w:rsid w:val="00815041"/>
    <w:rsid w:val="00820407"/>
    <w:rsid w:val="00835B2B"/>
    <w:rsid w:val="00850394"/>
    <w:rsid w:val="00865A10"/>
    <w:rsid w:val="0087618F"/>
    <w:rsid w:val="008C27CA"/>
    <w:rsid w:val="008C42D8"/>
    <w:rsid w:val="008D1CD7"/>
    <w:rsid w:val="008E3047"/>
    <w:rsid w:val="008F6558"/>
    <w:rsid w:val="009662B2"/>
    <w:rsid w:val="00983F56"/>
    <w:rsid w:val="009B7AB3"/>
    <w:rsid w:val="00A16234"/>
    <w:rsid w:val="00A5308E"/>
    <w:rsid w:val="00A53C69"/>
    <w:rsid w:val="00A73C74"/>
    <w:rsid w:val="00AE11B6"/>
    <w:rsid w:val="00AF0DE8"/>
    <w:rsid w:val="00AF6E17"/>
    <w:rsid w:val="00B23476"/>
    <w:rsid w:val="00B34955"/>
    <w:rsid w:val="00B9480D"/>
    <w:rsid w:val="00B94F32"/>
    <w:rsid w:val="00BB676F"/>
    <w:rsid w:val="00BD62B3"/>
    <w:rsid w:val="00BE7FB8"/>
    <w:rsid w:val="00C2719A"/>
    <w:rsid w:val="00C31BC9"/>
    <w:rsid w:val="00C5384F"/>
    <w:rsid w:val="00C65720"/>
    <w:rsid w:val="00C673B7"/>
    <w:rsid w:val="00C929B9"/>
    <w:rsid w:val="00CD7373"/>
    <w:rsid w:val="00CF041D"/>
    <w:rsid w:val="00D2208B"/>
    <w:rsid w:val="00D73770"/>
    <w:rsid w:val="00DA5293"/>
    <w:rsid w:val="00E01801"/>
    <w:rsid w:val="00E10E51"/>
    <w:rsid w:val="00E15E28"/>
    <w:rsid w:val="00E211FA"/>
    <w:rsid w:val="00E23E9E"/>
    <w:rsid w:val="00E91142"/>
    <w:rsid w:val="00F1114C"/>
    <w:rsid w:val="00F1729F"/>
    <w:rsid w:val="00F63A65"/>
    <w:rsid w:val="00F83FA9"/>
    <w:rsid w:val="00FA062A"/>
    <w:rsid w:val="00FB2744"/>
    <w:rsid w:val="01B62F5C"/>
    <w:rsid w:val="0254416A"/>
    <w:rsid w:val="03AD5615"/>
    <w:rsid w:val="04A80D30"/>
    <w:rsid w:val="055F62E0"/>
    <w:rsid w:val="0732656D"/>
    <w:rsid w:val="07965F00"/>
    <w:rsid w:val="0799180D"/>
    <w:rsid w:val="086907B9"/>
    <w:rsid w:val="087245E9"/>
    <w:rsid w:val="0A600591"/>
    <w:rsid w:val="0ACB0D78"/>
    <w:rsid w:val="0B6E6550"/>
    <w:rsid w:val="0C476233"/>
    <w:rsid w:val="0C583F4F"/>
    <w:rsid w:val="0E5B3E90"/>
    <w:rsid w:val="10220B03"/>
    <w:rsid w:val="1124702B"/>
    <w:rsid w:val="121037B1"/>
    <w:rsid w:val="12943D8A"/>
    <w:rsid w:val="150B2214"/>
    <w:rsid w:val="15861B5E"/>
    <w:rsid w:val="1587214C"/>
    <w:rsid w:val="158E49EC"/>
    <w:rsid w:val="15D00CD9"/>
    <w:rsid w:val="17D0041E"/>
    <w:rsid w:val="18104A8B"/>
    <w:rsid w:val="18453C60"/>
    <w:rsid w:val="18AE7E0C"/>
    <w:rsid w:val="1940737B"/>
    <w:rsid w:val="19525BB3"/>
    <w:rsid w:val="19B72ADD"/>
    <w:rsid w:val="1A95222B"/>
    <w:rsid w:val="1CF45B7F"/>
    <w:rsid w:val="1D274763"/>
    <w:rsid w:val="1D433149"/>
    <w:rsid w:val="1D515E4A"/>
    <w:rsid w:val="1DD279E3"/>
    <w:rsid w:val="1E376452"/>
    <w:rsid w:val="1E490090"/>
    <w:rsid w:val="1E9A4645"/>
    <w:rsid w:val="1F0E6B82"/>
    <w:rsid w:val="201B3F96"/>
    <w:rsid w:val="202366CA"/>
    <w:rsid w:val="20526261"/>
    <w:rsid w:val="21290176"/>
    <w:rsid w:val="22ED32DA"/>
    <w:rsid w:val="23020238"/>
    <w:rsid w:val="23CF16CE"/>
    <w:rsid w:val="23EA6A78"/>
    <w:rsid w:val="259226D8"/>
    <w:rsid w:val="25C96F0A"/>
    <w:rsid w:val="26A65805"/>
    <w:rsid w:val="26B2753C"/>
    <w:rsid w:val="26C40427"/>
    <w:rsid w:val="26DE0FD1"/>
    <w:rsid w:val="26FF0576"/>
    <w:rsid w:val="270A1AEF"/>
    <w:rsid w:val="28F64EC4"/>
    <w:rsid w:val="29A504DF"/>
    <w:rsid w:val="2C5348C6"/>
    <w:rsid w:val="2CF96358"/>
    <w:rsid w:val="2D275BA3"/>
    <w:rsid w:val="2E560813"/>
    <w:rsid w:val="2F750C6B"/>
    <w:rsid w:val="30802422"/>
    <w:rsid w:val="30CD28D4"/>
    <w:rsid w:val="31AF4AA2"/>
    <w:rsid w:val="31CA113F"/>
    <w:rsid w:val="33C521FE"/>
    <w:rsid w:val="33CD1809"/>
    <w:rsid w:val="36758A5B"/>
    <w:rsid w:val="371428EB"/>
    <w:rsid w:val="37CF521C"/>
    <w:rsid w:val="37D02C9E"/>
    <w:rsid w:val="37EE5AD1"/>
    <w:rsid w:val="380E0584"/>
    <w:rsid w:val="389B2389"/>
    <w:rsid w:val="39764653"/>
    <w:rsid w:val="398E1ED4"/>
    <w:rsid w:val="39BF474D"/>
    <w:rsid w:val="3A8F731E"/>
    <w:rsid w:val="3ABFD438"/>
    <w:rsid w:val="3B9A4359"/>
    <w:rsid w:val="3BD266B1"/>
    <w:rsid w:val="3C173922"/>
    <w:rsid w:val="3C4F2967"/>
    <w:rsid w:val="3E5553C8"/>
    <w:rsid w:val="3E771EEF"/>
    <w:rsid w:val="44373D73"/>
    <w:rsid w:val="46315CB6"/>
    <w:rsid w:val="46480E1F"/>
    <w:rsid w:val="46B92717"/>
    <w:rsid w:val="4703017D"/>
    <w:rsid w:val="477361FD"/>
    <w:rsid w:val="491834FB"/>
    <w:rsid w:val="49210587"/>
    <w:rsid w:val="492F3120"/>
    <w:rsid w:val="499140BE"/>
    <w:rsid w:val="4A2B0A3A"/>
    <w:rsid w:val="4B450039"/>
    <w:rsid w:val="4BC15658"/>
    <w:rsid w:val="4C401612"/>
    <w:rsid w:val="4D040E3D"/>
    <w:rsid w:val="4DB0E715"/>
    <w:rsid w:val="4DEB0578"/>
    <w:rsid w:val="4EBD75BF"/>
    <w:rsid w:val="4EF03291"/>
    <w:rsid w:val="4F3C0B94"/>
    <w:rsid w:val="506875FB"/>
    <w:rsid w:val="51BF5F38"/>
    <w:rsid w:val="51DA3B7F"/>
    <w:rsid w:val="52844274"/>
    <w:rsid w:val="52CC4866"/>
    <w:rsid w:val="53FFEC04"/>
    <w:rsid w:val="548B71B1"/>
    <w:rsid w:val="551A792E"/>
    <w:rsid w:val="566A522E"/>
    <w:rsid w:val="56A80039"/>
    <w:rsid w:val="56EB322E"/>
    <w:rsid w:val="56FA45C0"/>
    <w:rsid w:val="57117A69"/>
    <w:rsid w:val="582E113A"/>
    <w:rsid w:val="58734671"/>
    <w:rsid w:val="5AFC7FD4"/>
    <w:rsid w:val="5B705D94"/>
    <w:rsid w:val="5C223A92"/>
    <w:rsid w:val="5CA16CFD"/>
    <w:rsid w:val="5D9E4D24"/>
    <w:rsid w:val="5EF665DA"/>
    <w:rsid w:val="5F0C077E"/>
    <w:rsid w:val="5FDD1CD0"/>
    <w:rsid w:val="5FDEE2D8"/>
    <w:rsid w:val="5FE22D60"/>
    <w:rsid w:val="5FF351F8"/>
    <w:rsid w:val="61385890"/>
    <w:rsid w:val="621A25FF"/>
    <w:rsid w:val="62BE680A"/>
    <w:rsid w:val="63896059"/>
    <w:rsid w:val="644455B1"/>
    <w:rsid w:val="648065F1"/>
    <w:rsid w:val="65F32C4F"/>
    <w:rsid w:val="66046775"/>
    <w:rsid w:val="67E77C07"/>
    <w:rsid w:val="67EC37C9"/>
    <w:rsid w:val="689C6431"/>
    <w:rsid w:val="68D11D83"/>
    <w:rsid w:val="68E42FA2"/>
    <w:rsid w:val="6A000277"/>
    <w:rsid w:val="6B151F5F"/>
    <w:rsid w:val="6C33614D"/>
    <w:rsid w:val="6C404029"/>
    <w:rsid w:val="6CCA0AF9"/>
    <w:rsid w:val="6D5857D0"/>
    <w:rsid w:val="6D67188D"/>
    <w:rsid w:val="6DF523F6"/>
    <w:rsid w:val="6DFD3F7F"/>
    <w:rsid w:val="6EA70BE4"/>
    <w:rsid w:val="6F86090D"/>
    <w:rsid w:val="6F8D3411"/>
    <w:rsid w:val="6F8F0C3C"/>
    <w:rsid w:val="6FCB457A"/>
    <w:rsid w:val="70136EED"/>
    <w:rsid w:val="70473EC4"/>
    <w:rsid w:val="708539A9"/>
    <w:rsid w:val="709177BB"/>
    <w:rsid w:val="716F71A9"/>
    <w:rsid w:val="726915C0"/>
    <w:rsid w:val="738D3920"/>
    <w:rsid w:val="73D8631E"/>
    <w:rsid w:val="73E26C2E"/>
    <w:rsid w:val="74096AED"/>
    <w:rsid w:val="741F0C91"/>
    <w:rsid w:val="74C97EAC"/>
    <w:rsid w:val="751F6644"/>
    <w:rsid w:val="75681F2D"/>
    <w:rsid w:val="767A306F"/>
    <w:rsid w:val="772D6395"/>
    <w:rsid w:val="773B1E28"/>
    <w:rsid w:val="77911C31"/>
    <w:rsid w:val="77F47058"/>
    <w:rsid w:val="77FB6001"/>
    <w:rsid w:val="77FE53E9"/>
    <w:rsid w:val="79FC31DA"/>
    <w:rsid w:val="7A867FC2"/>
    <w:rsid w:val="7AA678C6"/>
    <w:rsid w:val="7B186900"/>
    <w:rsid w:val="7B5754EB"/>
    <w:rsid w:val="7BFB2776"/>
    <w:rsid w:val="7D5C10B9"/>
    <w:rsid w:val="7DFBE21D"/>
    <w:rsid w:val="7F08773B"/>
    <w:rsid w:val="7F8F9B76"/>
    <w:rsid w:val="BB9B6AFA"/>
    <w:rsid w:val="C7D33839"/>
    <w:rsid w:val="DCEF4CA6"/>
    <w:rsid w:val="DDF7E4CD"/>
    <w:rsid w:val="DFA78F70"/>
    <w:rsid w:val="EFFE0718"/>
    <w:rsid w:val="FBFF34DC"/>
    <w:rsid w:val="FDF3C510"/>
    <w:rsid w:val="FE735A8F"/>
    <w:rsid w:val="FE753B40"/>
    <w:rsid w:val="FFFDABD3"/>
    <w:rsid w:val="FFFFF1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Body Text"/>
    <w:basedOn w:val="1"/>
    <w:next w:val="1"/>
    <w:qFormat/>
    <w:uiPriority w:val="0"/>
    <w:pPr>
      <w:autoSpaceDE w:val="0"/>
      <w:autoSpaceDN w:val="0"/>
      <w:ind w:left="120"/>
      <w:jc w:val="left"/>
    </w:pPr>
    <w:rPr>
      <w:rFonts w:ascii="宋体" w:hAnsi="宋体" w:eastAsia="宋体" w:cs="宋体"/>
      <w:kern w:val="0"/>
      <w:sz w:val="32"/>
      <w:szCs w:val="32"/>
      <w:lang w:val="zh-CN" w:bidi="zh-CN"/>
    </w:rPr>
  </w:style>
  <w:style w:type="paragraph" w:styleId="3">
    <w:name w:val="annotation text"/>
    <w:basedOn w:val="1"/>
    <w:uiPriority w:val="0"/>
    <w:pPr>
      <w:jc w:val="left"/>
    </w:pPr>
  </w:style>
  <w:style w:type="paragraph" w:styleId="4">
    <w:name w:val="Balloon Text"/>
    <w:basedOn w:val="1"/>
    <w:link w:val="14"/>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qFormat/>
    <w:uiPriority w:val="0"/>
    <w:rPr>
      <w:color w:val="0000FF"/>
      <w:u w:val="single"/>
    </w:rPr>
  </w:style>
  <w:style w:type="paragraph" w:customStyle="1" w:styleId="11">
    <w:name w:val="列出段落1"/>
    <w:basedOn w:val="1"/>
    <w:qFormat/>
    <w:uiPriority w:val="34"/>
    <w:pPr>
      <w:ind w:firstLine="420" w:firstLineChars="200"/>
    </w:pPr>
  </w:style>
  <w:style w:type="paragraph" w:customStyle="1" w:styleId="12">
    <w:name w:val="列出段落2"/>
    <w:basedOn w:val="1"/>
    <w:qFormat/>
    <w:uiPriority w:val="99"/>
    <w:pPr>
      <w:ind w:firstLine="420" w:firstLineChars="200"/>
    </w:pPr>
  </w:style>
  <w:style w:type="paragraph" w:customStyle="1" w:styleId="13">
    <w:name w:val="List Paragraph"/>
    <w:basedOn w:val="1"/>
    <w:qFormat/>
    <w:uiPriority w:val="34"/>
    <w:pPr>
      <w:widowControl/>
      <w:spacing w:before="100" w:beforeAutospacing="1" w:after="100" w:afterAutospacing="1"/>
      <w:jc w:val="left"/>
    </w:pPr>
    <w:rPr>
      <w:rFonts w:ascii="宋体" w:hAnsi="宋体" w:cs="宋体"/>
      <w:kern w:val="0"/>
      <w:sz w:val="24"/>
    </w:rPr>
  </w:style>
  <w:style w:type="character" w:customStyle="1" w:styleId="14">
    <w:name w:val="批注框文本 Char"/>
    <w:link w:val="4"/>
    <w:qFormat/>
    <w:uiPriority w:val="0"/>
    <w:rPr>
      <w:kern w:val="2"/>
      <w:sz w:val="18"/>
      <w:szCs w:val="18"/>
    </w:rPr>
  </w:style>
  <w:style w:type="character" w:customStyle="1" w:styleId="15">
    <w:name w:val="页脚 Char"/>
    <w:link w:val="5"/>
    <w:qFormat/>
    <w:uiPriority w:val="99"/>
    <w:rPr>
      <w:kern w:val="2"/>
      <w:sz w:val="18"/>
      <w:szCs w:val="18"/>
    </w:rPr>
  </w:style>
  <w:style w:type="character" w:customStyle="1" w:styleId="16">
    <w:name w:val="页眉 Char"/>
    <w:link w:val="6"/>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10572</Words>
  <Characters>11171</Characters>
  <Lines>52</Lines>
  <Paragraphs>14</Paragraphs>
  <TotalTime>18.3333333333333</TotalTime>
  <ScaleCrop>false</ScaleCrop>
  <LinksUpToDate>false</LinksUpToDate>
  <CharactersWithSpaces>11799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2017-02-18T08:23:00Z</dcterms:created>
  <dc:creator>admin</dc:creator>
  <cp:lastModifiedBy>Eric</cp:lastModifiedBy>
  <cp:lastPrinted>2021-05-28T02:40:09Z</cp:lastPrinted>
  <dcterms:modified xsi:type="dcterms:W3CDTF">2023-03-09T06:01:50Z</dcterms:modified>
  <dc:title>附件1  绿色工厂试点申报材料</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75ECFAFC8B034B62B4AF4C2E6987E7D3</vt:lpwstr>
  </property>
</Properties>
</file>