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9A7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default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附件3</w:t>
      </w:r>
    </w:p>
    <w:p w14:paraId="5A4E1A5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31B955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auto"/>
        <w:rPr>
          <w:rFonts w:hint="eastAsia" w:ascii="黑体" w:hAnsi="黑体" w:eastAsia="微软雅黑" w:cs="黑体"/>
          <w:color w:val="auto"/>
          <w:sz w:val="34"/>
          <w:szCs w:val="34"/>
          <w:highlight w:val="none"/>
          <w:lang w:eastAsia="zh-CN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b w:val="0"/>
          <w:bCs/>
          <w:color w:val="auto"/>
          <w:sz w:val="44"/>
          <w:szCs w:val="44"/>
          <w:highlight w:val="none"/>
          <w:lang w:val="en-US" w:eastAsia="zh-CN"/>
        </w:rPr>
        <w:t>大中小企业融通创新服务平台操作指南</w:t>
      </w:r>
    </w:p>
    <w:bookmarkEnd w:id="0"/>
    <w:p w14:paraId="136D05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9D49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一、用户登录</w:t>
      </w:r>
    </w:p>
    <w:p w14:paraId="01E662E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1.访问大中小企业融通创新服务平台（rongtongchuangxin.smesd.com.cn/manage），输入账号密码，登录市县管理员账号。</w:t>
      </w:r>
    </w:p>
    <w:p w14:paraId="0CE19B41">
      <w:pPr>
        <w:numPr>
          <w:ilvl w:val="0"/>
          <w:numId w:val="0"/>
        </w:numPr>
        <w:ind w:leftChars="0"/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C0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二、发布活动信息</w:t>
      </w:r>
    </w:p>
    <w:p w14:paraId="112B3B01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1.创建融链固链活动，选择“创建融链固链活动”菜单并点击“新增”按钮，填写活动信息及企业需求后点击提交。</w:t>
      </w:r>
    </w:p>
    <w:p w14:paraId="015F71A0">
      <w:pPr>
        <w:numPr>
          <w:ilvl w:val="0"/>
          <w:numId w:val="0"/>
        </w:numPr>
        <w:ind w:leftChars="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2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AEBE9">
      <w:pPr>
        <w:numPr>
          <w:ilvl w:val="0"/>
          <w:numId w:val="0"/>
        </w:numPr>
        <w:ind w:leftChars="0"/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28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4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DAB7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2.点击“报名管理”按钮，查看活动报名信息，点击导出报名企业信息。</w:t>
      </w:r>
    </w:p>
    <w:p w14:paraId="376E760A">
      <w:pPr>
        <w:numPr>
          <w:ilvl w:val="0"/>
          <w:numId w:val="0"/>
        </w:numPr>
        <w:ind w:leftChars="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5269230" cy="3037840"/>
            <wp:effectExtent l="0" t="0" r="3810" b="10160"/>
            <wp:docPr id="1029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7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A16A">
      <w:pPr>
        <w:numPr>
          <w:ilvl w:val="0"/>
          <w:numId w:val="0"/>
        </w:numPr>
        <w:ind w:leftChars="0"/>
        <w:jc w:val="center"/>
        <w:rPr>
          <w:rFonts w:hint="default"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269230" cy="3037840"/>
            <wp:effectExtent l="0" t="0" r="3810" b="10160"/>
            <wp:docPr id="1030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1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37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EFDFF">
      <w:pPr>
        <w:numPr>
          <w:ilvl w:val="0"/>
          <w:numId w:val="0"/>
        </w:numPr>
        <w:ind w:leftChars="0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三、总结活动成效</w:t>
      </w:r>
    </w:p>
    <w:p w14:paraId="2FA826D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1.选择“上传活动总结”菜单，点击“编辑活动总结”按钮，逐项填写总结信息，平台根据所填信息生成本场活动成效总览，确认无误后点击提交。</w:t>
      </w:r>
    </w:p>
    <w:p w14:paraId="5323BD6D">
      <w:pPr>
        <w:numPr>
          <w:ilvl w:val="0"/>
          <w:numId w:val="0"/>
        </w:numPr>
        <w:ind w:leftChars="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3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5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41F98">
      <w:pPr>
        <w:numPr>
          <w:ilvl w:val="0"/>
          <w:numId w:val="0"/>
        </w:numPr>
        <w:ind w:leftChars="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3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6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60119">
      <w:pPr>
        <w:numPr>
          <w:ilvl w:val="0"/>
          <w:numId w:val="0"/>
        </w:numPr>
        <w:ind w:leftChars="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33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7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90744">
      <w:pPr>
        <w:numPr>
          <w:ilvl w:val="0"/>
          <w:numId w:val="0"/>
        </w:numPr>
        <w:ind w:leftChars="0"/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3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8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B6B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2.选择“汇总活动成效”菜单，可查看本辖区内所有审核通过的活动总结信息。</w:t>
      </w:r>
    </w:p>
    <w:p w14:paraId="6A0961FC">
      <w:pPr>
        <w:jc w:val="center"/>
      </w:pPr>
      <w:r>
        <w:rPr>
          <w:color w:val="auto"/>
          <w:highlight w:val="none"/>
        </w:rPr>
        <w:drawing>
          <wp:inline distT="0" distB="0" distL="0" distR="0">
            <wp:extent cx="5266690" cy="2858135"/>
            <wp:effectExtent l="0" t="0" r="6350" b="6985"/>
            <wp:docPr id="1035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9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46B50"/>
    <w:rsid w:val="381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2025-05-07T09:22:00Z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