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30D" w:rsidRDefault="0099030D">
      <w:pPr>
        <w:jc w:val="center"/>
        <w:rPr>
          <w:rFonts w:asciiTheme="majorEastAsia" w:eastAsiaTheme="majorEastAsia" w:hAnsiTheme="majorEastAsia" w:cstheme="majorEastAsia"/>
          <w:b/>
          <w:bCs/>
          <w:sz w:val="44"/>
          <w:szCs w:val="44"/>
        </w:rPr>
      </w:pPr>
    </w:p>
    <w:p w:rsidR="0099030D" w:rsidRDefault="0099030D">
      <w:pPr>
        <w:jc w:val="center"/>
        <w:rPr>
          <w:rFonts w:asciiTheme="majorEastAsia" w:eastAsiaTheme="majorEastAsia" w:hAnsiTheme="majorEastAsia" w:cstheme="majorEastAsia"/>
          <w:b/>
          <w:bCs/>
          <w:sz w:val="44"/>
          <w:szCs w:val="44"/>
        </w:rPr>
      </w:pPr>
    </w:p>
    <w:p w:rsidR="0099030D" w:rsidRDefault="00F96CC4">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山东省省级食盐储备管理办法</w:t>
      </w:r>
    </w:p>
    <w:p w:rsidR="0099030D" w:rsidRDefault="0099030D">
      <w:pPr>
        <w:rPr>
          <w:rFonts w:ascii="仿宋" w:eastAsia="仿宋" w:hAnsi="仿宋" w:cs="仿宋"/>
          <w:sz w:val="32"/>
          <w:szCs w:val="32"/>
        </w:rPr>
      </w:pPr>
    </w:p>
    <w:p w:rsidR="0099030D" w:rsidRDefault="00F96CC4">
      <w:pPr>
        <w:numPr>
          <w:ilvl w:val="0"/>
          <w:numId w:val="1"/>
        </w:numPr>
        <w:jc w:val="center"/>
        <w:rPr>
          <w:rFonts w:ascii="黑体" w:eastAsia="黑体" w:hAnsi="黑体" w:cs="黑体"/>
          <w:sz w:val="32"/>
          <w:szCs w:val="32"/>
        </w:rPr>
      </w:pPr>
      <w:r>
        <w:rPr>
          <w:rFonts w:ascii="黑体" w:eastAsia="黑体" w:hAnsi="黑体" w:cs="黑体" w:hint="eastAsia"/>
          <w:sz w:val="32"/>
          <w:szCs w:val="32"/>
        </w:rPr>
        <w:t>总则</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第一条 根据《食盐专营办法》（国务院令第696号）《国务院关于印发盐业体制改革方案的通知》（国办〔2016〕25号），《山东省盐业体制改革实施方案》（鲁政发〔2017〕35号）有关政府食盐储备制度的要求，为应对重大自然灾害和突发公共事件，提高省人民政府对食盐市场的宏观调控能力，规范和加强对省级储备食盐的管理，确保食盐市场安全和稳定供应，制定本办法。</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第二条 本办法所称省级储备食盐，是指省政府储备的用于调控省内食盐市场，应对特大灾情疫情、突发事件和食盐市场异常波动，以及省政府确定的其他特定用途，确保特殊时期食盐市场供应，质量符合国家标准要求的500克（500克以下规格）小包装及50千克大包装，其中加碘盐须符合</w:t>
      </w:r>
      <w:proofErr w:type="gramStart"/>
      <w:r>
        <w:rPr>
          <w:rFonts w:ascii="仿宋" w:eastAsia="仿宋" w:hAnsi="仿宋" w:cs="仿宋" w:hint="eastAsia"/>
          <w:sz w:val="32"/>
          <w:szCs w:val="32"/>
        </w:rPr>
        <w:t>我省盐碘浓度</w:t>
      </w:r>
      <w:proofErr w:type="gramEnd"/>
      <w:r>
        <w:rPr>
          <w:rFonts w:ascii="仿宋" w:eastAsia="仿宋" w:hAnsi="仿宋" w:cs="仿宋" w:hint="eastAsia"/>
          <w:sz w:val="32"/>
          <w:szCs w:val="32"/>
        </w:rPr>
        <w:t>规定的食盐。食盐定点生产（批发）企业最低库存、最高库存和企业社会责任储备按国家相关规定执行。</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第三条 省级食盐储备遵循“政府牵总、企业承储、财政补贴、费用包干”的原则，采取“滚动储备，定期轮换”的商业化管理模式。</w:t>
      </w:r>
    </w:p>
    <w:p w:rsidR="0099030D" w:rsidRDefault="00F96CC4" w:rsidP="00E00ECA">
      <w:pPr>
        <w:ind w:firstLineChars="200" w:firstLine="640"/>
        <w:rPr>
          <w:rFonts w:ascii="仿宋" w:eastAsia="仿宋" w:hAnsi="仿宋" w:cs="仿宋"/>
          <w:color w:val="FF0000"/>
          <w:sz w:val="32"/>
          <w:szCs w:val="32"/>
        </w:rPr>
      </w:pPr>
      <w:r>
        <w:rPr>
          <w:rFonts w:ascii="仿宋" w:eastAsia="仿宋" w:hAnsi="仿宋" w:cs="仿宋" w:hint="eastAsia"/>
          <w:sz w:val="32"/>
          <w:szCs w:val="32"/>
        </w:rPr>
        <w:lastRenderedPageBreak/>
        <w:t>第四条 从事和参与省级食盐储备承储、管理、监督单位，必须遵守本办法。各市可参照本办法制订市级食盐储备管理办法。</w:t>
      </w:r>
    </w:p>
    <w:p w:rsidR="0099030D" w:rsidRDefault="0099030D">
      <w:pPr>
        <w:ind w:firstLineChars="200" w:firstLine="640"/>
        <w:jc w:val="left"/>
        <w:rPr>
          <w:rFonts w:ascii="仿宋" w:eastAsia="仿宋" w:hAnsi="仿宋" w:cs="仿宋"/>
          <w:sz w:val="32"/>
          <w:szCs w:val="32"/>
        </w:rPr>
      </w:pPr>
    </w:p>
    <w:p w:rsidR="0099030D" w:rsidRDefault="00F96CC4">
      <w:pPr>
        <w:numPr>
          <w:ilvl w:val="0"/>
          <w:numId w:val="1"/>
        </w:numPr>
        <w:jc w:val="center"/>
        <w:rPr>
          <w:rFonts w:ascii="黑体" w:eastAsia="黑体" w:hAnsi="黑体" w:cs="黑体"/>
          <w:sz w:val="32"/>
          <w:szCs w:val="32"/>
        </w:rPr>
      </w:pPr>
      <w:r>
        <w:rPr>
          <w:rFonts w:ascii="黑体" w:eastAsia="黑体" w:hAnsi="黑体" w:cs="黑体" w:hint="eastAsia"/>
          <w:sz w:val="32"/>
          <w:szCs w:val="32"/>
        </w:rPr>
        <w:t>规模和资金</w:t>
      </w:r>
    </w:p>
    <w:p w:rsidR="0099030D" w:rsidRDefault="00F96CC4" w:rsidP="00E00ECA">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省级食盐储备规模为全省上一年度月均食盐消费量（暂定7.5万吨，其中小包装食盐为3万吨，大包装食盐为4.5万吨）。储备规模如需调整，由省工业和信息化厅会同省财政厅提出方案，报省政府审定。</w:t>
      </w:r>
    </w:p>
    <w:p w:rsidR="0099030D" w:rsidRDefault="00F96CC4" w:rsidP="00E00ECA">
      <w:pPr>
        <w:rPr>
          <w:rFonts w:ascii="仿宋" w:eastAsia="仿宋" w:hAnsi="仿宋" w:cs="仿宋"/>
          <w:sz w:val="32"/>
          <w:szCs w:val="32"/>
        </w:rPr>
      </w:pPr>
      <w:r>
        <w:rPr>
          <w:rFonts w:ascii="仿宋" w:eastAsia="仿宋" w:hAnsi="仿宋" w:cs="仿宋" w:hint="eastAsia"/>
          <w:sz w:val="32"/>
          <w:szCs w:val="32"/>
        </w:rPr>
        <w:t xml:space="preserve">    省财政对承担食盐储备任务的企业（以下简称</w:t>
      </w:r>
      <w:proofErr w:type="gramStart"/>
      <w:r w:rsidR="00A91A61">
        <w:rPr>
          <w:rFonts w:ascii="仿宋" w:eastAsia="仿宋" w:hAnsi="仿宋" w:cs="仿宋"/>
          <w:sz w:val="32"/>
          <w:szCs w:val="32"/>
        </w:rPr>
        <w:t>”</w:t>
      </w:r>
      <w:proofErr w:type="gramEnd"/>
      <w:r w:rsidR="00A91A61">
        <w:rPr>
          <w:rFonts w:ascii="仿宋" w:eastAsia="仿宋" w:hAnsi="仿宋" w:cs="仿宋" w:hint="eastAsia"/>
          <w:sz w:val="32"/>
          <w:szCs w:val="32"/>
        </w:rPr>
        <w:t>承储企业</w:t>
      </w:r>
      <w:proofErr w:type="gramStart"/>
      <w:r w:rsidR="00A91A61">
        <w:rPr>
          <w:rFonts w:ascii="仿宋" w:eastAsia="仿宋" w:hAnsi="仿宋" w:cs="仿宋"/>
          <w:sz w:val="32"/>
          <w:szCs w:val="32"/>
        </w:rPr>
        <w:t>”</w:t>
      </w:r>
      <w:proofErr w:type="gramEnd"/>
      <w:r>
        <w:rPr>
          <w:rFonts w:ascii="仿宋" w:eastAsia="仿宋" w:hAnsi="仿宋" w:cs="仿宋" w:hint="eastAsia"/>
          <w:sz w:val="32"/>
          <w:szCs w:val="32"/>
        </w:rPr>
        <w:t>）为完成政府食盐储备任务而发生的贷款利息和管理费等支出给予补助，承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未申请贷款而使用自有资金的，也给予相当于贷款贴息等额的资金补贴，补助资金由承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包干使用。</w:t>
      </w:r>
    </w:p>
    <w:p w:rsidR="0099030D" w:rsidRDefault="0099030D">
      <w:pPr>
        <w:jc w:val="left"/>
        <w:rPr>
          <w:rFonts w:ascii="仿宋" w:eastAsia="仿宋" w:hAnsi="仿宋" w:cs="仿宋"/>
          <w:sz w:val="32"/>
          <w:szCs w:val="32"/>
        </w:rPr>
      </w:pPr>
    </w:p>
    <w:p w:rsidR="0099030D" w:rsidRDefault="00F96CC4">
      <w:pPr>
        <w:numPr>
          <w:ilvl w:val="0"/>
          <w:numId w:val="1"/>
        </w:numPr>
        <w:jc w:val="center"/>
        <w:rPr>
          <w:rFonts w:ascii="黑体" w:eastAsia="黑体" w:hAnsi="黑体" w:cs="黑体"/>
          <w:sz w:val="32"/>
          <w:szCs w:val="32"/>
        </w:rPr>
      </w:pPr>
      <w:r>
        <w:rPr>
          <w:rFonts w:ascii="黑体" w:eastAsia="黑体" w:hAnsi="黑体" w:cs="黑体" w:hint="eastAsia"/>
          <w:sz w:val="32"/>
          <w:szCs w:val="32"/>
        </w:rPr>
        <w:t>管理体系</w:t>
      </w:r>
    </w:p>
    <w:p w:rsidR="0099030D" w:rsidRDefault="00F96CC4" w:rsidP="00E00ECA">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省工业和信息化厅负责牵头协调省级储备食盐管理工作，下达省级食盐储备计划；确定储备企业，落实储备计划；根据省级食盐储备情况提出资金使用方案；对食盐储备有关情况进行监督检查，协调解决食盐储备工作中的问题。</w:t>
      </w:r>
    </w:p>
    <w:p w:rsidR="0099030D" w:rsidRDefault="00F96CC4" w:rsidP="00E00ECA">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省财政厅负责政府食盐储备资金的预算编制、</w:t>
      </w:r>
      <w:r>
        <w:rPr>
          <w:rFonts w:ascii="仿宋" w:eastAsia="仿宋" w:hAnsi="仿宋" w:cs="仿宋" w:hint="eastAsia"/>
          <w:sz w:val="32"/>
          <w:szCs w:val="32"/>
        </w:rPr>
        <w:lastRenderedPageBreak/>
        <w:t>支出政策额审核和绩效管理，依据省工业的信息化厅申报的资金使用计划，按照预算管理</w:t>
      </w:r>
      <w:bookmarkStart w:id="0" w:name="_GoBack"/>
      <w:bookmarkEnd w:id="0"/>
      <w:r>
        <w:rPr>
          <w:rFonts w:ascii="仿宋" w:eastAsia="仿宋" w:hAnsi="仿宋" w:cs="仿宋" w:hint="eastAsia"/>
          <w:sz w:val="32"/>
          <w:szCs w:val="32"/>
        </w:rPr>
        <w:t>要求拨付资金。</w:t>
      </w:r>
    </w:p>
    <w:p w:rsidR="0099030D" w:rsidRDefault="00F96CC4" w:rsidP="00E00ECA">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要与省工业和信息化厅签订承储协议，明确各方的权利、义务和违约责任等事项。</w:t>
      </w:r>
    </w:p>
    <w:p w:rsidR="0099030D" w:rsidRDefault="0099030D">
      <w:pPr>
        <w:ind w:leftChars="200" w:left="420"/>
        <w:jc w:val="left"/>
        <w:rPr>
          <w:rFonts w:ascii="仿宋" w:eastAsia="仿宋" w:hAnsi="仿宋" w:cs="仿宋"/>
          <w:sz w:val="32"/>
          <w:szCs w:val="32"/>
        </w:rPr>
      </w:pPr>
    </w:p>
    <w:p w:rsidR="0099030D" w:rsidRDefault="00F96CC4">
      <w:pPr>
        <w:numPr>
          <w:ilvl w:val="0"/>
          <w:numId w:val="1"/>
        </w:numPr>
        <w:jc w:val="center"/>
        <w:rPr>
          <w:rFonts w:ascii="黑体" w:eastAsia="黑体" w:hAnsi="黑体" w:cs="黑体"/>
          <w:sz w:val="32"/>
          <w:szCs w:val="32"/>
        </w:rPr>
      </w:pPr>
      <w:r>
        <w:rPr>
          <w:rFonts w:ascii="黑体" w:eastAsia="黑体" w:hAnsi="黑体" w:cs="黑体" w:hint="eastAsia"/>
          <w:sz w:val="32"/>
          <w:szCs w:val="32"/>
        </w:rPr>
        <w:t>储存管理</w:t>
      </w:r>
    </w:p>
    <w:p w:rsidR="0099030D" w:rsidRDefault="00F96CC4" w:rsidP="00E00ECA">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应当具备以下条件：</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（一）具有食盐定点生产企业证书或食盐定点批发企业证书；</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（二）具有设施齐全且安全的食盐仓储条件；</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（三）交通便利，调动方便，经营量大，便于轮换；</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（四）财务状况良好，盐款结算及时，无违规经营记录，未发生过食盐安全和质量事故。</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第十条 根据《山东省盐业体制改革实施方案》（鲁政发〔2017〕35号）文件要求，我省按照相对集中存储、分布科学合理、利于应急调动的原则，依托山东鲁盐集团有限公司（以下</w:t>
      </w:r>
      <w:proofErr w:type="gramStart"/>
      <w:r>
        <w:rPr>
          <w:rFonts w:ascii="仿宋" w:eastAsia="仿宋" w:hAnsi="仿宋" w:cs="仿宋" w:hint="eastAsia"/>
          <w:sz w:val="32"/>
          <w:szCs w:val="32"/>
        </w:rPr>
        <w:t>简称鲁盐集团</w:t>
      </w:r>
      <w:proofErr w:type="gramEnd"/>
      <w:r>
        <w:rPr>
          <w:rFonts w:ascii="仿宋" w:eastAsia="仿宋" w:hAnsi="仿宋" w:cs="仿宋" w:hint="eastAsia"/>
          <w:sz w:val="32"/>
          <w:szCs w:val="32"/>
        </w:rPr>
        <w:t>）开展省级食盐储备工作。</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储备工作原则上一定3年不变。</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因违规不再继续承担省级食盐储备任务的，其承担的省级储备食盐任务由省工业和信息化厅牵头提出调整方案。</w:t>
      </w:r>
    </w:p>
    <w:p w:rsidR="0099030D" w:rsidRDefault="00F96CC4">
      <w:pPr>
        <w:ind w:leftChars="200" w:left="420"/>
        <w:jc w:val="left"/>
        <w:rPr>
          <w:rFonts w:ascii="仿宋" w:eastAsia="仿宋" w:hAnsi="仿宋" w:cs="仿宋"/>
          <w:sz w:val="32"/>
          <w:szCs w:val="32"/>
        </w:rPr>
      </w:pPr>
      <w:r>
        <w:rPr>
          <w:rFonts w:ascii="仿宋" w:eastAsia="仿宋" w:hAnsi="仿宋" w:cs="仿宋" w:hint="eastAsia"/>
          <w:sz w:val="32"/>
          <w:szCs w:val="32"/>
        </w:rPr>
        <w:t>第十一条 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的职责：</w:t>
      </w:r>
    </w:p>
    <w:p w:rsidR="0099030D" w:rsidRDefault="00F96CC4">
      <w:pPr>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（一）严格执行各项管理制度，对省级食盐储备的数量、质量和储存安全负责，保证储备食盐储得进、管得好、调得动、用得上；</w:t>
      </w:r>
    </w:p>
    <w:p w:rsidR="0099030D" w:rsidRDefault="00F96CC4">
      <w:pPr>
        <w:ind w:firstLineChars="200" w:firstLine="640"/>
        <w:jc w:val="left"/>
        <w:rPr>
          <w:rFonts w:ascii="仿宋" w:eastAsia="仿宋" w:hAnsi="仿宋" w:cs="仿宋"/>
          <w:sz w:val="32"/>
          <w:szCs w:val="32"/>
        </w:rPr>
      </w:pPr>
      <w:r>
        <w:rPr>
          <w:rFonts w:ascii="仿宋" w:eastAsia="仿宋" w:hAnsi="仿宋" w:cs="仿宋" w:hint="eastAsia"/>
          <w:sz w:val="32"/>
          <w:szCs w:val="32"/>
        </w:rPr>
        <w:t>（二）对省级食盐储备定点储存、专人保管、专账记载，保证食盐储备账</w:t>
      </w:r>
      <w:proofErr w:type="gramStart"/>
      <w:r>
        <w:rPr>
          <w:rFonts w:ascii="仿宋" w:eastAsia="仿宋" w:hAnsi="仿宋" w:cs="仿宋" w:hint="eastAsia"/>
          <w:sz w:val="32"/>
          <w:szCs w:val="32"/>
        </w:rPr>
        <w:t>账</w:t>
      </w:r>
      <w:proofErr w:type="gramEnd"/>
      <w:r>
        <w:rPr>
          <w:rFonts w:ascii="仿宋" w:eastAsia="仿宋" w:hAnsi="仿宋" w:cs="仿宋" w:hint="eastAsia"/>
          <w:sz w:val="32"/>
          <w:szCs w:val="32"/>
        </w:rPr>
        <w:t>相符、账物相符；</w:t>
      </w:r>
    </w:p>
    <w:p w:rsidR="0099030D" w:rsidRDefault="00F96CC4" w:rsidP="00E00ECA">
      <w:pPr>
        <w:ind w:firstLineChars="200" w:firstLine="640"/>
        <w:rPr>
          <w:rFonts w:ascii="仿宋" w:eastAsia="仿宋" w:hAnsi="仿宋" w:cs="仿宋"/>
          <w:sz w:val="32"/>
          <w:szCs w:val="32"/>
          <w:u w:val="single"/>
        </w:rPr>
      </w:pPr>
      <w:r>
        <w:rPr>
          <w:rFonts w:ascii="仿宋" w:eastAsia="仿宋" w:hAnsi="仿宋" w:cs="仿宋" w:hint="eastAsia"/>
          <w:sz w:val="32"/>
          <w:szCs w:val="32"/>
        </w:rPr>
        <w:t>（三）按照食盐质量和保管要求，至少每半年对储备食盐轮换一次，并对轮换出的食盐及时补库；</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（四）建立健全储备食盐的防火、防盗、防洪等安全管理制度，并配备必要的安全防护设施；</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（五）对食盐储备的储存管理状况进行经常性检查，发现问题及时处理。</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第十二条 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不得有下列行为：</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（一）虚报食盐储备的数量，在储备中掺杂使假、以次充好；</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（二）擅自调换食盐储备的品种、变更食盐储备的储存地点；</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（三）因管理不善造成储备损失；</w:t>
      </w:r>
    </w:p>
    <w:p w:rsidR="0099030D" w:rsidRDefault="00F96CC4">
      <w:pPr>
        <w:ind w:firstLineChars="200" w:firstLine="640"/>
        <w:jc w:val="left"/>
        <w:rPr>
          <w:rFonts w:ascii="仿宋" w:eastAsia="仿宋" w:hAnsi="仿宋" w:cs="仿宋"/>
          <w:sz w:val="32"/>
          <w:szCs w:val="32"/>
        </w:rPr>
      </w:pPr>
      <w:r>
        <w:rPr>
          <w:rFonts w:ascii="仿宋" w:eastAsia="仿宋" w:hAnsi="仿宋" w:cs="仿宋" w:hint="eastAsia"/>
          <w:sz w:val="32"/>
          <w:szCs w:val="32"/>
        </w:rPr>
        <w:t>（四）擅自动用食盐储备、挪用储备资金，以储备食盐对外进行担保或清偿债务。</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第十三条 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对省级食盐储备要做到定点存储、专账管理，与正常经营食盐严格分开，以确保紧急情况和突发事件时对食盐储备的需求。</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lastRenderedPageBreak/>
        <w:t>第十四条 对省级食盐储备实行挂牌管理。储备食盐（库）前悬挂“山东省省级食盐储备（库）”标牌，并在库内明显位置标明食盐入库时间、数量、品种及管理人员等。</w:t>
      </w:r>
    </w:p>
    <w:p w:rsidR="0099030D" w:rsidRDefault="0099030D">
      <w:pPr>
        <w:ind w:firstLineChars="200" w:firstLine="640"/>
        <w:jc w:val="left"/>
        <w:rPr>
          <w:rFonts w:ascii="仿宋" w:eastAsia="仿宋" w:hAnsi="仿宋" w:cs="仿宋"/>
          <w:sz w:val="32"/>
          <w:szCs w:val="32"/>
        </w:rPr>
      </w:pPr>
    </w:p>
    <w:p w:rsidR="0099030D" w:rsidRDefault="00F96CC4">
      <w:pPr>
        <w:jc w:val="center"/>
        <w:rPr>
          <w:rFonts w:ascii="黑体" w:eastAsia="黑体" w:hAnsi="黑体" w:cs="黑体"/>
          <w:sz w:val="32"/>
          <w:szCs w:val="32"/>
        </w:rPr>
      </w:pPr>
      <w:r>
        <w:rPr>
          <w:rFonts w:ascii="黑体" w:eastAsia="黑体" w:hAnsi="黑体" w:cs="黑体" w:hint="eastAsia"/>
          <w:sz w:val="32"/>
          <w:szCs w:val="32"/>
        </w:rPr>
        <w:t>第五章  储备动用</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第十五条 动用省级储备食盐需由省工业和信息化厅牵头提出动用方案，报省政府批准。紧急情况下，省政府可直接决定动用省级储备食盐并下达动用命令。</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第十六条 出现下列情况之一时，可以动用省级储备食盐：</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（一）全省或部分地区食盐明显供不应求；</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（二）发生重大自然灾害或者其他突发事件需要动用省级政府食盐储备；</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（三）省政府认为需要动用省级食盐储备的其他情况。</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第十七条 省工业和</w:t>
      </w:r>
      <w:proofErr w:type="gramStart"/>
      <w:r>
        <w:rPr>
          <w:rFonts w:ascii="仿宋" w:eastAsia="仿宋" w:hAnsi="仿宋" w:cs="仿宋" w:hint="eastAsia"/>
          <w:sz w:val="32"/>
          <w:szCs w:val="32"/>
        </w:rPr>
        <w:t>信息化厅应根据</w:t>
      </w:r>
      <w:proofErr w:type="gramEnd"/>
      <w:r>
        <w:rPr>
          <w:rFonts w:ascii="仿宋" w:eastAsia="仿宋" w:hAnsi="仿宋" w:cs="仿宋" w:hint="eastAsia"/>
          <w:sz w:val="32"/>
          <w:szCs w:val="32"/>
        </w:rPr>
        <w:t>省政府批准的省级储备食盐动用方案或下达的动用命令，具体负责组织实施。省直有关部门、有关市和县（市、区）人民政府对省级食盐储备动用命令的实施，应当给予支持、配合。</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第十八条 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接到省政府下达的动用命令，或省政府授权部门下达的动用指令后必须立即执行，并按规定数量、品种、时限等要求组织食盐出库，不得以任何理由拒绝或拖延。</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任何单位和个人不得拒绝或擅自改变省级食盐储备动用命令。</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第十九条 省级储备食盐动用后，承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原则上应在1个月内补充储备，并将动用和补库情况报省工业和信息化厅备案。补充储备后的数量、品种、规格等要与下达的储备计划一致。</w:t>
      </w:r>
    </w:p>
    <w:p w:rsidR="0099030D" w:rsidRDefault="0099030D">
      <w:pPr>
        <w:ind w:firstLineChars="200" w:firstLine="640"/>
        <w:jc w:val="left"/>
        <w:rPr>
          <w:rFonts w:ascii="仿宋" w:eastAsia="仿宋" w:hAnsi="仿宋" w:cs="仿宋"/>
          <w:sz w:val="32"/>
          <w:szCs w:val="32"/>
        </w:rPr>
      </w:pPr>
    </w:p>
    <w:p w:rsidR="0099030D" w:rsidRDefault="00F96CC4">
      <w:pPr>
        <w:jc w:val="center"/>
        <w:rPr>
          <w:rFonts w:ascii="黑体" w:eastAsia="黑体" w:hAnsi="黑体" w:cs="黑体"/>
          <w:sz w:val="32"/>
          <w:szCs w:val="32"/>
        </w:rPr>
      </w:pPr>
      <w:r>
        <w:rPr>
          <w:rFonts w:ascii="黑体" w:eastAsia="黑体" w:hAnsi="黑体" w:cs="黑体" w:hint="eastAsia"/>
          <w:sz w:val="32"/>
          <w:szCs w:val="32"/>
        </w:rPr>
        <w:t>第六章  监督检查</w:t>
      </w:r>
    </w:p>
    <w:p w:rsidR="0099030D" w:rsidRDefault="00F96CC4" w:rsidP="00E00ECA">
      <w:pPr>
        <w:ind w:firstLineChars="200" w:firstLine="640"/>
        <w:rPr>
          <w:rFonts w:ascii="仿宋" w:eastAsia="仿宋" w:hAnsi="仿宋" w:cs="仿宋"/>
          <w:sz w:val="32"/>
          <w:szCs w:val="32"/>
          <w:u w:val="single"/>
        </w:rPr>
      </w:pPr>
      <w:r>
        <w:rPr>
          <w:rFonts w:ascii="仿宋" w:eastAsia="仿宋" w:hAnsi="仿宋" w:cs="仿宋" w:hint="eastAsia"/>
          <w:sz w:val="32"/>
          <w:szCs w:val="32"/>
        </w:rPr>
        <w:t>第二十条 省工业和信息化厅对省级政府食盐储备的数量及储存安全等实施监督管理；省市场监管局对食盐承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的食盐质量安全等实施监督管理；省盐业协会应结合工作,随时了解掌握有关情况，协助抓好食盐储备工作。</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第二十一条 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对有关部门的监督检查，应予以积极配合，不得拒绝、阻挠。</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条二十二条 在省级食盐储备管理工作中，负有相关责任的工作人员滥用职权、玩忽职守、徇私舞弊的，由其所在单位给予行政处分；构成犯罪的，移交司法机关依法追究刑事责任。</w:t>
      </w:r>
    </w:p>
    <w:p w:rsidR="0099030D" w:rsidRDefault="00F96CC4">
      <w:pPr>
        <w:ind w:firstLineChars="200" w:firstLine="640"/>
        <w:jc w:val="left"/>
        <w:rPr>
          <w:rFonts w:ascii="仿宋" w:eastAsia="仿宋" w:hAnsi="仿宋" w:cs="仿宋"/>
          <w:sz w:val="32"/>
          <w:szCs w:val="32"/>
        </w:rPr>
      </w:pPr>
      <w:r>
        <w:rPr>
          <w:rFonts w:ascii="仿宋" w:eastAsia="仿宋" w:hAnsi="仿宋" w:cs="仿宋" w:hint="eastAsia"/>
          <w:sz w:val="32"/>
          <w:szCs w:val="32"/>
        </w:rPr>
        <w:t>第二十三条 省级食盐承</w:t>
      </w:r>
      <w:proofErr w:type="gramStart"/>
      <w:r>
        <w:rPr>
          <w:rFonts w:ascii="仿宋" w:eastAsia="仿宋" w:hAnsi="仿宋" w:cs="仿宋" w:hint="eastAsia"/>
          <w:sz w:val="32"/>
          <w:szCs w:val="32"/>
        </w:rPr>
        <w:t>储企业</w:t>
      </w:r>
      <w:proofErr w:type="gramEnd"/>
      <w:r>
        <w:rPr>
          <w:rFonts w:ascii="仿宋" w:eastAsia="仿宋" w:hAnsi="仿宋" w:cs="仿宋" w:hint="eastAsia"/>
          <w:sz w:val="32"/>
          <w:szCs w:val="32"/>
        </w:rPr>
        <w:t>违反本办法和</w:t>
      </w:r>
      <w:proofErr w:type="gramStart"/>
      <w:r>
        <w:rPr>
          <w:rFonts w:ascii="仿宋" w:eastAsia="仿宋" w:hAnsi="仿宋" w:cs="仿宋" w:hint="eastAsia"/>
          <w:sz w:val="32"/>
          <w:szCs w:val="32"/>
        </w:rPr>
        <w:t>承储</w:t>
      </w:r>
      <w:proofErr w:type="gramEnd"/>
      <w:r>
        <w:rPr>
          <w:rFonts w:ascii="仿宋" w:eastAsia="仿宋" w:hAnsi="仿宋" w:cs="仿宋" w:hint="eastAsia"/>
          <w:sz w:val="32"/>
          <w:szCs w:val="32"/>
        </w:rPr>
        <w:t>协议的，扣减财政补贴，取消承储资格，并依据国家发展改革委牵头承办的</w:t>
      </w:r>
      <w:proofErr w:type="gramStart"/>
      <w:r>
        <w:rPr>
          <w:rFonts w:ascii="仿宋" w:eastAsia="仿宋" w:hAnsi="仿宋" w:cs="仿宋" w:hint="eastAsia"/>
          <w:sz w:val="32"/>
          <w:szCs w:val="32"/>
        </w:rPr>
        <w:t>《关于对盐行业生产经营严重失信者开展联合惩戒的合作备忘录》发改经</w:t>
      </w:r>
      <w:proofErr w:type="gramEnd"/>
      <w:r>
        <w:rPr>
          <w:rFonts w:ascii="仿宋" w:eastAsia="仿宋" w:hAnsi="仿宋" w:cs="仿宋" w:hint="eastAsia"/>
          <w:sz w:val="32"/>
          <w:szCs w:val="32"/>
        </w:rPr>
        <w:t>体〔2017〕1164号要求对企业相关</w:t>
      </w:r>
      <w:r>
        <w:rPr>
          <w:rFonts w:ascii="仿宋" w:eastAsia="仿宋" w:hAnsi="仿宋" w:cs="仿宋" w:hint="eastAsia"/>
          <w:sz w:val="32"/>
          <w:szCs w:val="32"/>
        </w:rPr>
        <w:lastRenderedPageBreak/>
        <w:t>责任人进行惩戒；涉嫌犯罪的，依法移交司法机关追究刑事责任。</w:t>
      </w:r>
    </w:p>
    <w:p w:rsidR="0099030D" w:rsidRDefault="00F96CC4">
      <w:pPr>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w:t>
      </w:r>
    </w:p>
    <w:p w:rsidR="0099030D" w:rsidRDefault="00F96CC4">
      <w:pPr>
        <w:jc w:val="center"/>
        <w:rPr>
          <w:rFonts w:ascii="黑体" w:eastAsia="黑体" w:hAnsi="黑体" w:cs="黑体"/>
          <w:sz w:val="32"/>
          <w:szCs w:val="32"/>
        </w:rPr>
      </w:pPr>
      <w:r>
        <w:rPr>
          <w:rFonts w:ascii="黑体" w:eastAsia="黑体" w:hAnsi="黑体" w:cs="黑体" w:hint="eastAsia"/>
          <w:sz w:val="32"/>
          <w:szCs w:val="32"/>
        </w:rPr>
        <w:t>第七章  附则</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第二十四条 本办法由省工业和信息化厅负责解释。</w:t>
      </w:r>
    </w:p>
    <w:p w:rsidR="0099030D" w:rsidRDefault="00F96CC4" w:rsidP="00E00ECA">
      <w:pPr>
        <w:ind w:firstLineChars="200" w:firstLine="640"/>
        <w:rPr>
          <w:rFonts w:ascii="仿宋" w:eastAsia="仿宋" w:hAnsi="仿宋" w:cs="仿宋"/>
          <w:sz w:val="32"/>
          <w:szCs w:val="32"/>
        </w:rPr>
      </w:pPr>
      <w:r>
        <w:rPr>
          <w:rFonts w:ascii="仿宋" w:eastAsia="仿宋" w:hAnsi="仿宋" w:cs="仿宋" w:hint="eastAsia"/>
          <w:sz w:val="32"/>
          <w:szCs w:val="32"/>
        </w:rPr>
        <w:t>第二十五条 本办法自2020年7月1日起施行。</w:t>
      </w:r>
    </w:p>
    <w:p w:rsidR="0099030D" w:rsidRDefault="00F96CC4">
      <w:pPr>
        <w:wordWrap w:val="0"/>
        <w:jc w:val="right"/>
        <w:rPr>
          <w:rFonts w:ascii="仿宋" w:eastAsia="仿宋" w:hAnsi="仿宋" w:cs="仿宋"/>
          <w:sz w:val="32"/>
          <w:szCs w:val="32"/>
        </w:rPr>
      </w:pPr>
      <w:r>
        <w:rPr>
          <w:rFonts w:ascii="仿宋" w:eastAsia="仿宋" w:hAnsi="仿宋" w:cs="仿宋" w:hint="eastAsia"/>
          <w:sz w:val="32"/>
          <w:szCs w:val="32"/>
        </w:rPr>
        <w:t xml:space="preserve"> </w:t>
      </w:r>
    </w:p>
    <w:sectPr w:rsidR="0099030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634" w:rsidRDefault="007C3634">
      <w:r>
        <w:separator/>
      </w:r>
    </w:p>
  </w:endnote>
  <w:endnote w:type="continuationSeparator" w:id="0">
    <w:p w:rsidR="007C3634" w:rsidRDefault="007C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D" w:rsidRDefault="00F96CC4">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9030D" w:rsidRDefault="00F96CC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C0C2D">
                            <w:rPr>
                              <w:noProof/>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9030D" w:rsidRDefault="00F96CC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C0C2D">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634" w:rsidRDefault="007C3634">
      <w:r>
        <w:separator/>
      </w:r>
    </w:p>
  </w:footnote>
  <w:footnote w:type="continuationSeparator" w:id="0">
    <w:p w:rsidR="007C3634" w:rsidRDefault="007C3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204B1"/>
    <w:multiLevelType w:val="singleLevel"/>
    <w:tmpl w:val="EAA204B1"/>
    <w:lvl w:ilvl="0">
      <w:start w:val="5"/>
      <w:numFmt w:val="chineseCounting"/>
      <w:suff w:val="space"/>
      <w:lvlText w:val="第%1条"/>
      <w:lvlJc w:val="left"/>
      <w:rPr>
        <w:rFonts w:hint="eastAsia"/>
      </w:rPr>
    </w:lvl>
  </w:abstractNum>
  <w:abstractNum w:abstractNumId="1">
    <w:nsid w:val="2D8F2E0C"/>
    <w:multiLevelType w:val="singleLevel"/>
    <w:tmpl w:val="2D8F2E0C"/>
    <w:lvl w:ilvl="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33463"/>
    <w:rsid w:val="001D4310"/>
    <w:rsid w:val="00456028"/>
    <w:rsid w:val="007C3634"/>
    <w:rsid w:val="00860B71"/>
    <w:rsid w:val="0099030D"/>
    <w:rsid w:val="00A91A61"/>
    <w:rsid w:val="00BC0C2D"/>
    <w:rsid w:val="00BD1718"/>
    <w:rsid w:val="00BF359A"/>
    <w:rsid w:val="00C5490B"/>
    <w:rsid w:val="00E00ECA"/>
    <w:rsid w:val="00F96CC4"/>
    <w:rsid w:val="064F4A9B"/>
    <w:rsid w:val="07AE2492"/>
    <w:rsid w:val="090D2987"/>
    <w:rsid w:val="0FDC6D0C"/>
    <w:rsid w:val="14B97411"/>
    <w:rsid w:val="14C44225"/>
    <w:rsid w:val="14F52562"/>
    <w:rsid w:val="1553235A"/>
    <w:rsid w:val="19F173F9"/>
    <w:rsid w:val="1C372483"/>
    <w:rsid w:val="270467EA"/>
    <w:rsid w:val="28425595"/>
    <w:rsid w:val="2CF0385B"/>
    <w:rsid w:val="2D827253"/>
    <w:rsid w:val="2DC3726A"/>
    <w:rsid w:val="30C61569"/>
    <w:rsid w:val="323E4E97"/>
    <w:rsid w:val="33947980"/>
    <w:rsid w:val="352C7A6B"/>
    <w:rsid w:val="37695060"/>
    <w:rsid w:val="3E162BAD"/>
    <w:rsid w:val="3EF46D45"/>
    <w:rsid w:val="40047C08"/>
    <w:rsid w:val="40B07C18"/>
    <w:rsid w:val="40F1399A"/>
    <w:rsid w:val="42777C82"/>
    <w:rsid w:val="44886095"/>
    <w:rsid w:val="46106F6C"/>
    <w:rsid w:val="49833463"/>
    <w:rsid w:val="4D3C0A4D"/>
    <w:rsid w:val="4E7B41CB"/>
    <w:rsid w:val="4FC2418A"/>
    <w:rsid w:val="503C5D4E"/>
    <w:rsid w:val="519977FD"/>
    <w:rsid w:val="52DE27BB"/>
    <w:rsid w:val="573F1F40"/>
    <w:rsid w:val="583A767B"/>
    <w:rsid w:val="5886433B"/>
    <w:rsid w:val="607E34A6"/>
    <w:rsid w:val="61E963F0"/>
    <w:rsid w:val="64EE5BD7"/>
    <w:rsid w:val="661F38F2"/>
    <w:rsid w:val="6D6B0F39"/>
    <w:rsid w:val="6E40250A"/>
    <w:rsid w:val="75897704"/>
    <w:rsid w:val="75CE032D"/>
    <w:rsid w:val="7A7E13E4"/>
    <w:rsid w:val="7B8D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A91A61"/>
    <w:rPr>
      <w:sz w:val="18"/>
      <w:szCs w:val="18"/>
    </w:rPr>
  </w:style>
  <w:style w:type="character" w:customStyle="1" w:styleId="Char">
    <w:name w:val="批注框文本 Char"/>
    <w:basedOn w:val="a0"/>
    <w:link w:val="a6"/>
    <w:rsid w:val="00A91A6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A91A61"/>
    <w:rPr>
      <w:sz w:val="18"/>
      <w:szCs w:val="18"/>
    </w:rPr>
  </w:style>
  <w:style w:type="character" w:customStyle="1" w:styleId="Char">
    <w:name w:val="批注框文本 Char"/>
    <w:basedOn w:val="a0"/>
    <w:link w:val="a6"/>
    <w:rsid w:val="00A91A6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392</Words>
  <Characters>2236</Characters>
  <Application>Microsoft Office Word</Application>
  <DocSecurity>0</DocSecurity>
  <Lines>18</Lines>
  <Paragraphs>5</Paragraphs>
  <ScaleCrop>false</ScaleCrop>
  <Company>省财政厅</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cp:lastModifiedBy>
  <cp:revision>6</cp:revision>
  <cp:lastPrinted>2020-05-28T06:54:00Z</cp:lastPrinted>
  <dcterms:created xsi:type="dcterms:W3CDTF">2019-08-26T06:21:00Z</dcterms:created>
  <dcterms:modified xsi:type="dcterms:W3CDTF">2020-05-29T09:06:00Z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