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《山东省民营企业家“挂帅出征”百强榜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评选细则》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</w:rPr>
        <w:t>起草</w:t>
      </w:r>
      <w:r>
        <w:rPr>
          <w:rFonts w:hint="eastAsia" w:ascii="Times New Roman" w:hAnsi="Times New Roman" w:eastAsia="方正小标宋简体" w:cs="Times New Roman"/>
          <w:b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贯彻党的二十大精神，全面落实习近平总书记关于民营经济发展的重要讲话重要指示精神，激发民营企业家干事创业热情，营造民营经济发展浓厚氛围，以更大力度、更实举措、更优服务支持民营企业做大做强，推动全省民营经济高质量发展，根据省促进非公经济发展工作领导小组印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的《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山东省促进民营经济高质量发展2022年十大专项行动方案》（鲁非公组发〔2022〕3号），起草了《山东省民营企业家“挂帅出征”百强榜评选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细则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称《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细则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》），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如下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highlight w:val="none"/>
          <w:lang w:val="en-US" w:eastAsia="zh-CN"/>
        </w:rPr>
        <w:t>一、起草背景过程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（一）起草背景。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民营经济是推动经济发展的“生力军”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近年来，习近平总书记多次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强调“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两个毫不动摇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三个没有变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，强调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民营企业和民营企业家是我们自己人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今年9月，李干杰书记在全省民营经济高质量发展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Hans" w:bidi="ar-SA"/>
        </w:rPr>
        <w:t>工作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会议上要求，要大力营造尊商、重商、亲商、安商的社会文化，持续深化优秀企业家宣传表彰活动，真正让民营企业家在山东有地位、有形象、有荣誉、有归属。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民营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企业“挂帅出征”引领行动，发布“山东省民营企业家‘挂帅出征’百强榜”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是促进民营经济发展的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务实之举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，也是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优化民营经济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营商环境的有力一招，能够有效提升民营企业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家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的荣誉感、获得感和社会影响力。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（二）起草过程。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民营企业家“挂帅出征”百强榜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评选活动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旨在推动当前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民营企业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持续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巩固“稳”的基础，蓄积“进”的动能，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加快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拓展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民营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经济进一步回稳向上空间。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细则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的起草，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深入贯彻省领导的指示精神，充分吸收借鉴广东、江苏、安徽等省市先进经验，学习参考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了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《关于弘扬企业家精神支持企业家干事创业的若干措施（试行）》《山东省优秀企业家表彰奖励办法》，是对山东省优秀企业家表彰的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有益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补充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和延伸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，并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多次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征求了厅产业人才处、政策法规处意见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建议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主要内容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细则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》共包括总则、标准条件、评选程序、激励措施和附则5个部分。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第一，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总则部分</w:t>
      </w: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明确了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民营企业家“挂帅出征”百强榜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的评选依据、原则、范围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数量。百强榜计划每两年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发布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一次，其中，领航企业家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0名、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菁英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企业家40名、新星企业家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0名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第二，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标准条件部分</w:t>
      </w: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分为基本条件和特色条件两部分。基本条件，从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爱党爱国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守法经营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创业创新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产业带动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回报社会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五个方面提出了具体要求。特色条件，根据企业家定位不同，在营业收入、引领作用、品牌建设等方面提出了差异化标准，其中领航企业家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Hans"/>
        </w:rPr>
        <w:t>定位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为产业链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Hans"/>
        </w:rPr>
        <w:t>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头部企业，精锐企业家为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延链补链强链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的中坚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新星企业家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创新能力强、成长速度快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的新兴企业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第三，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评选程序部分</w:t>
      </w: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包括组织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评审遴选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征求意见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公示发布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动态管理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五个部分。通过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各市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审核推荐，组织专家择优评选，征求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Hans"/>
        </w:rPr>
        <w:t>非公领导小组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成员单位意见无异议后，向社会进行公示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。百强榜名单实行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动态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管理，实时进行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调整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第四，激励措施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部分</w:t>
      </w: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主要是召开表彰大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会颁发证书，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设立企业家服务专员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安排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“一对一”服务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，组织各类高端实训、咨询、交流活动，开设“山东省民营企业家‘挂帅出征’百强榜”专栏，编制“挂帅出征”百强榜年鉴，全方位提升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民营企业和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企业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家的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知名度和影响力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第五，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附则部分</w:t>
      </w: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规定了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授予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称号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企业家的退出等事项。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TkzNDYyN2YzZTI5OWZkZGQwYjU3ZGFhOTVkMjUifQ=="/>
  </w:docVars>
  <w:rsids>
    <w:rsidRoot w:val="6DFA733F"/>
    <w:rsid w:val="49410383"/>
    <w:rsid w:val="495042D1"/>
    <w:rsid w:val="6D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3">
    <w:name w:val="Body Text Indent"/>
    <w:basedOn w:val="1"/>
    <w:qFormat/>
    <w:uiPriority w:val="0"/>
    <w:pPr>
      <w:spacing w:after="12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1706</Words>
  <Characters>1718</Characters>
  <Lines>0</Lines>
  <Paragraphs>0</Paragraphs>
  <TotalTime>1</TotalTime>
  <ScaleCrop>false</ScaleCrop>
  <LinksUpToDate>false</LinksUpToDate>
  <CharactersWithSpaces>1718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2022-11-30T09:17:00Z</dcterms:created>
  <dc:creator>学生行行</dc:creator>
  <cp:lastModifiedBy>ZhenPH</cp:lastModifiedBy>
  <dcterms:modified xsi:type="dcterms:W3CDTF">2022-11-30T09:23:54Z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ED3726AAF444462CB0B9E021E6FEA196</vt:lpwstr>
  </property>
</Properties>
</file>