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adjustRightInd w:val="0"/>
        <w:snapToGrid w:val="0"/>
        <w:ind w:firstLine="880" w:firstLineChars="200"/>
        <w:jc w:val="center"/>
        <w:rPr>
          <w:rFonts w:hint="eastAsia" w:ascii="方正小标宋简体" w:eastAsia="方正小标宋简体"/>
          <w:sz w:val="44"/>
          <w:szCs w:val="44"/>
        </w:rPr>
      </w:pPr>
    </w:p>
    <w:p>
      <w:pPr>
        <w:adjustRightInd w:val="0"/>
        <w:snapToGrid w:val="0"/>
        <w:jc w:val="center"/>
        <w:rPr>
          <w:rFonts w:hint="eastAsia" w:ascii="方正小标宋简体" w:eastAsia="方正小标宋简体"/>
          <w:sz w:val="44"/>
          <w:szCs w:val="44"/>
        </w:rPr>
      </w:pPr>
      <w:r>
        <w:rPr>
          <w:rFonts w:hint="eastAsia" w:ascii="方正小标宋简体" w:eastAsia="方正小标宋简体"/>
          <w:sz w:val="44"/>
          <w:szCs w:val="44"/>
          <w:lang w:val="en-US" w:eastAsia="zh-CN"/>
        </w:rPr>
        <w:t>2020年度</w:t>
      </w:r>
      <w:r>
        <w:rPr>
          <w:rFonts w:hint="eastAsia" w:ascii="方正小标宋简体" w:eastAsia="方正小标宋简体"/>
          <w:sz w:val="44"/>
          <w:szCs w:val="44"/>
        </w:rPr>
        <w:t>省</w:t>
      </w:r>
      <w:r>
        <w:rPr>
          <w:rFonts w:hint="eastAsia" w:ascii="方正小标宋简体" w:eastAsia="方正小标宋简体"/>
          <w:sz w:val="44"/>
          <w:szCs w:val="44"/>
          <w:lang w:eastAsia="zh-CN"/>
        </w:rPr>
        <w:t>级</w:t>
      </w:r>
      <w:r>
        <w:rPr>
          <w:rFonts w:hint="eastAsia" w:ascii="方正小标宋简体" w:eastAsia="方正小标宋简体"/>
          <w:sz w:val="44"/>
          <w:szCs w:val="44"/>
        </w:rPr>
        <w:t>首版次高端软件保险补偿</w:t>
      </w:r>
    </w:p>
    <w:p>
      <w:pPr>
        <w:adjustRightInd w:val="0"/>
        <w:snapToGrid w:val="0"/>
        <w:jc w:val="center"/>
        <w:rPr>
          <w:rFonts w:ascii="方正小标宋简体" w:eastAsia="方正小标宋简体"/>
          <w:sz w:val="44"/>
          <w:szCs w:val="44"/>
        </w:rPr>
      </w:pPr>
      <w:r>
        <w:rPr>
          <w:rFonts w:hint="eastAsia" w:ascii="方正小标宋简体" w:eastAsia="方正小标宋简体"/>
          <w:sz w:val="44"/>
          <w:szCs w:val="44"/>
        </w:rPr>
        <w:t>申报指南</w:t>
      </w:r>
    </w:p>
    <w:p>
      <w:pPr>
        <w:adjustRightInd w:val="0"/>
        <w:snapToGrid w:val="0"/>
        <w:spacing w:line="360" w:lineRule="auto"/>
        <w:ind w:firstLine="640" w:firstLineChars="200"/>
        <w:rPr>
          <w:rFonts w:ascii="仿宋_GB2312" w:eastAsia="仿宋_GB2312"/>
          <w:sz w:val="32"/>
          <w:szCs w:val="32"/>
        </w:rPr>
      </w:pPr>
    </w:p>
    <w:p>
      <w:pPr>
        <w:keepNext w:val="0"/>
        <w:keepLines w:val="0"/>
        <w:pageBreakBefore w:val="0"/>
        <w:widowControl w:val="0"/>
        <w:kinsoku/>
        <w:wordWrap/>
        <w:topLinePunct w:val="0"/>
        <w:bidi w:val="0"/>
        <w:adjustRightInd w:val="0"/>
        <w:snapToGrid w:val="0"/>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一、申报范围</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年及上一年度山东省首版次高端软件名单内的企事业单位，为其名单内产品投保“软件首版次质量安全责任保险”、“云计算服务责任保险”，并在投保时限内实现销售，可享受保险补偿财政扶持。投保时限承接上一年度确定时限的截止时间，为期一年。同一软件产品最多可享受两次保险补偿。</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鉴于首版次高端软件认定及保险补偿工作自2018年启动，第一批、第二批首版次高端软件没有充分享受政策优惠。经研究，确定第一批、第二批首版次高端软件也可参加2020年度首版次高端软件保险补偿申报工作（同一软件产品已获得两次保险补偿的不得申报）。</w:t>
      </w:r>
    </w:p>
    <w:p>
      <w:pPr>
        <w:keepNext w:val="0"/>
        <w:keepLines w:val="0"/>
        <w:pageBreakBefore w:val="0"/>
        <w:widowControl w:val="0"/>
        <w:kinsoku/>
        <w:wordWrap/>
        <w:topLinePunct w:val="0"/>
        <w:bidi w:val="0"/>
        <w:adjustRightInd w:val="0"/>
        <w:snapToGrid w:val="0"/>
        <w:spacing w:line="600" w:lineRule="exact"/>
        <w:ind w:firstLine="200"/>
        <w:textAlignment w:val="auto"/>
        <w:rPr>
          <w:rFonts w:ascii="黑体" w:hAnsi="黑体" w:eastAsia="黑体"/>
          <w:sz w:val="32"/>
          <w:szCs w:val="32"/>
        </w:rPr>
      </w:pPr>
      <w:r>
        <w:rPr>
          <w:rFonts w:hint="eastAsia" w:ascii="黑体" w:hAnsi="黑体" w:eastAsia="黑体"/>
          <w:sz w:val="32"/>
          <w:szCs w:val="32"/>
        </w:rPr>
        <w:t xml:space="preserve">    二、申报流程</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省工业和信息化厅每年上半年组织1次省首版次高端软件产品认定申报(条件见附件),下半年组织1次省首版次高端软件保险补偿申报。两项工作均需经过通知部署、单位申报、地市初审、专家评审、网上公示等环节后确定结果。首版次高端软件保险补偿结果确定后，省工业和信息化厅按照有关规定向省财政厅提交预算申请。</w:t>
      </w:r>
    </w:p>
    <w:p>
      <w:pPr>
        <w:keepNext w:val="0"/>
        <w:keepLines w:val="0"/>
        <w:pageBreakBefore w:val="0"/>
        <w:widowControl w:val="0"/>
        <w:kinsoku/>
        <w:wordWrap/>
        <w:topLinePunct w:val="0"/>
        <w:bidi w:val="0"/>
        <w:adjustRightInd w:val="0"/>
        <w:snapToGrid w:val="0"/>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三、支持标准</w:t>
      </w:r>
    </w:p>
    <w:p>
      <w:pPr>
        <w:keepNext w:val="0"/>
        <w:keepLines w:val="0"/>
        <w:pageBreakBefore w:val="0"/>
        <w:widowControl w:val="0"/>
        <w:kinsoku/>
        <w:wordWrap/>
        <w:topLinePunct w:val="0"/>
        <w:bidi w:val="0"/>
        <w:adjustRightInd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在规定时限内，省内企事业单位与保险公司签订正式保险合同并支付保费的（分期支付保费的，首期保费不低于保费总额的20%，其余保费缴费时限和方式按照有关规定由保险双方协商确定），省财政按不高于3%的费率及实际投保年度保费的80%给予补贴，单个企业最高补助不超过200万元。</w:t>
      </w:r>
    </w:p>
    <w:p>
      <w:pPr>
        <w:keepNext w:val="0"/>
        <w:keepLines w:val="0"/>
        <w:pageBreakBefore w:val="0"/>
        <w:widowControl w:val="0"/>
        <w:kinsoku/>
        <w:wordWrap/>
        <w:topLinePunct w:val="0"/>
        <w:bidi w:val="0"/>
        <w:adjustRightInd w:val="0"/>
        <w:snapToGrid w:val="0"/>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四、材料要求</w:t>
      </w:r>
    </w:p>
    <w:p>
      <w:pPr>
        <w:keepNext w:val="0"/>
        <w:keepLines w:val="0"/>
        <w:pageBreakBefore w:val="0"/>
        <w:widowControl w:val="0"/>
        <w:kinsoku/>
        <w:wordWrap/>
        <w:topLinePunct w:val="0"/>
        <w:bidi w:val="0"/>
        <w:adjustRightInd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首版次高端软件企业申请保险补偿资金时，需按照申报材料模板（附件2）要求提交申请表、申报材料真实性承诺书及有关支撑材料，所有支撑材料都需加盖投保企业有效印章，并按顺序进行胶装。申报材料一式三份，经各市工信局初审并严格核对所有复印件的原件后，报送省工信厅软件处（2份）、山东银保监局（1份），电子版材料（PDF及WORD版本）刻录光盘同步报送。具体支撑材料如下：</w:t>
      </w:r>
    </w:p>
    <w:p>
      <w:pPr>
        <w:keepNext w:val="0"/>
        <w:keepLines w:val="0"/>
        <w:pageBreakBefore w:val="0"/>
        <w:widowControl w:val="0"/>
        <w:kinsoku/>
        <w:wordWrap/>
        <w:topLinePunct w:val="0"/>
        <w:bidi w:val="0"/>
        <w:adjustRightInd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1. 企业营业执照、组织机构代码或三证合一证复印件</w:t>
      </w:r>
    </w:p>
    <w:p>
      <w:pPr>
        <w:keepNext w:val="0"/>
        <w:keepLines w:val="0"/>
        <w:pageBreakBefore w:val="0"/>
        <w:widowControl w:val="0"/>
        <w:kinsoku/>
        <w:wordWrap/>
        <w:topLinePunct w:val="0"/>
        <w:bidi w:val="0"/>
        <w:adjustRightInd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2.保险费支付凭证、加盖承保财产保险公司印章的保单及保险费发票等材料复印件；</w:t>
      </w:r>
    </w:p>
    <w:p>
      <w:pPr>
        <w:pStyle w:val="3"/>
        <w:keepNext w:val="0"/>
        <w:keepLines w:val="0"/>
        <w:pageBreakBefore w:val="0"/>
        <w:widowControl w:val="0"/>
        <w:kinsoku/>
        <w:wordWrap/>
        <w:topLinePunct w:val="0"/>
        <w:bidi w:val="0"/>
        <w:spacing w:line="600" w:lineRule="exact"/>
        <w:textAlignment w:val="auto"/>
        <w:rPr>
          <w:rFonts w:ascii="仿宋_GB2312" w:eastAsia="仿宋_GB2312"/>
          <w:sz w:val="32"/>
          <w:szCs w:val="32"/>
        </w:rPr>
      </w:pPr>
      <w:r>
        <w:rPr>
          <w:rFonts w:hint="eastAsia" w:ascii="仿宋_GB2312" w:eastAsia="仿宋_GB2312"/>
          <w:sz w:val="32"/>
          <w:szCs w:val="32"/>
        </w:rPr>
        <w:t xml:space="preserve">    3.投保产品的销售合同和发票复印件，由集团内关联公司实现最终销售的，需提供面向非本集团公司最终用户或销售商的销售合同及发票；分期付款结算的，已开发票金额不低于合同金额的50%。销售日期以发票日期为准，分期付款的以满足约束条件最后一张发票日期为准；出口产品，需附加中文翻译版本，金额换算为人民币。如果嵌入式软件等产品没有单独的销售合同及发票，须增加软件实现销售承诺书，列明软件销售情况，明确软件价值，加盖软件企业公章、下游用户公章。</w:t>
      </w:r>
    </w:p>
    <w:p>
      <w:pPr>
        <w:keepNext w:val="0"/>
        <w:keepLines w:val="0"/>
        <w:pageBreakBefore w:val="0"/>
        <w:widowControl w:val="0"/>
        <w:kinsoku/>
        <w:wordWrap/>
        <w:topLinePunct w:val="0"/>
        <w:bidi w:val="0"/>
        <w:adjustRightInd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4.投保产品销售发票涉及多张的企业需开列明细清单，包括用户单位名称、产品名称（含版次）、金额及数量、开票日期等。</w:t>
      </w:r>
    </w:p>
    <w:p>
      <w:pPr>
        <w:keepNext w:val="0"/>
        <w:keepLines w:val="0"/>
        <w:pageBreakBefore w:val="0"/>
        <w:widowControl w:val="0"/>
        <w:kinsoku/>
        <w:wordWrap/>
        <w:topLinePunct w:val="0"/>
        <w:bidi w:val="0"/>
        <w:adjustRightInd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5.有多份保单符合保险补偿条件的，需列出保单、保险费发票及支付凭证、销售合同、销售合同发票的对应清单（分期付款的需备注已开发票金额与合同金额的比例），并装订至申请表之后；</w:t>
      </w:r>
    </w:p>
    <w:p>
      <w:pPr>
        <w:keepNext w:val="0"/>
        <w:keepLines w:val="0"/>
        <w:pageBreakBefore w:val="0"/>
        <w:widowControl w:val="0"/>
        <w:kinsoku/>
        <w:wordWrap/>
        <w:topLinePunct w:val="0"/>
        <w:bidi w:val="0"/>
        <w:adjustRightInd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6.其他需要补充的支撑材料。 </w:t>
      </w:r>
    </w:p>
    <w:p>
      <w:pPr>
        <w:keepNext w:val="0"/>
        <w:keepLines w:val="0"/>
        <w:pageBreakBefore w:val="0"/>
        <w:widowControl w:val="0"/>
        <w:kinsoku/>
        <w:wordWrap/>
        <w:topLinePunct w:val="0"/>
        <w:bidi w:val="0"/>
        <w:adjustRightInd w:val="0"/>
        <w:snapToGrid w:val="0"/>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五、其他要求</w:t>
      </w:r>
    </w:p>
    <w:p>
      <w:pPr>
        <w:keepNext w:val="0"/>
        <w:keepLines w:val="0"/>
        <w:pageBreakBefore w:val="0"/>
        <w:widowControl w:val="0"/>
        <w:kinsoku/>
        <w:wordWrap/>
        <w:topLinePunct w:val="0"/>
        <w:bidi w:val="0"/>
        <w:adjustRightInd w:val="0"/>
        <w:snapToGrid w:val="0"/>
        <w:spacing w:line="600" w:lineRule="exact"/>
        <w:ind w:firstLine="200"/>
        <w:textAlignment w:val="auto"/>
        <w:rPr>
          <w:rFonts w:ascii="仿宋_GB2312" w:eastAsia="仿宋_GB2312"/>
          <w:sz w:val="32"/>
          <w:szCs w:val="32"/>
        </w:rPr>
      </w:pPr>
      <w:r>
        <w:rPr>
          <w:rFonts w:hint="eastAsia" w:ascii="楷体_GB2312" w:eastAsia="楷体_GB2312"/>
          <w:sz w:val="32"/>
          <w:szCs w:val="32"/>
        </w:rPr>
        <w:t xml:space="preserve">  （一）加强申报监督管理。</w:t>
      </w:r>
      <w:r>
        <w:rPr>
          <w:rFonts w:hint="eastAsia" w:ascii="仿宋_GB2312" w:eastAsia="仿宋_GB2312"/>
          <w:sz w:val="32"/>
          <w:szCs w:val="32"/>
        </w:rPr>
        <w:t>项目申报单位根据产品</w:t>
      </w:r>
      <w:r>
        <w:rPr>
          <w:rFonts w:ascii="仿宋_GB2312" w:eastAsia="仿宋_GB2312"/>
          <w:sz w:val="32"/>
          <w:szCs w:val="32"/>
        </w:rPr>
        <w:t>实际市场推广需求确定投保数量（或金额），</w:t>
      </w:r>
      <w:r>
        <w:rPr>
          <w:rFonts w:hint="eastAsia" w:ascii="仿宋_GB2312" w:eastAsia="仿宋_GB2312"/>
          <w:sz w:val="32"/>
          <w:szCs w:val="32"/>
        </w:rPr>
        <w:t>已申领保险补偿的软件产品一经投保不得退保</w:t>
      </w:r>
      <w:r>
        <w:rPr>
          <w:rFonts w:ascii="仿宋_GB2312" w:eastAsia="仿宋_GB2312"/>
          <w:sz w:val="32"/>
          <w:szCs w:val="32"/>
        </w:rPr>
        <w:t>，销售合同应与保单相对应。</w:t>
      </w:r>
      <w:r>
        <w:rPr>
          <w:rFonts w:hint="eastAsia" w:ascii="仿宋_GB2312" w:eastAsia="仿宋_GB2312"/>
          <w:sz w:val="32"/>
          <w:szCs w:val="32"/>
        </w:rPr>
        <w:t>市县业务主管部门要对补贴实施范围、申报资格、补贴标准等严格审核，建立信用负面清单管理制度，对弄虚作假、虚报冒领等失信失范企业取消其3年内申报首版次高端软件保险补偿资格。省工业和信息化厅按照产业政策、工作实际等情况，适时对首版次高端软件认定条件、保险申报所需材料等进行调整，具体以当年申报通知为准。</w:t>
      </w:r>
    </w:p>
    <w:p>
      <w:pPr>
        <w:keepNext w:val="0"/>
        <w:keepLines w:val="0"/>
        <w:pageBreakBefore w:val="0"/>
        <w:widowControl w:val="0"/>
        <w:kinsoku/>
        <w:wordWrap/>
        <w:topLinePunct w:val="0"/>
        <w:bidi w:val="0"/>
        <w:adjustRightInd w:val="0"/>
        <w:snapToGrid w:val="0"/>
        <w:spacing w:line="600" w:lineRule="exact"/>
        <w:ind w:firstLine="640" w:firstLineChars="200"/>
        <w:textAlignment w:val="auto"/>
        <w:rPr>
          <w:rFonts w:ascii="仿宋_GB2312" w:eastAsia="仿宋_GB2312"/>
          <w:sz w:val="32"/>
          <w:szCs w:val="32"/>
        </w:rPr>
      </w:pPr>
      <w:r>
        <w:rPr>
          <w:rFonts w:hint="eastAsia" w:ascii="楷体_GB2312" w:eastAsia="楷体_GB2312"/>
          <w:sz w:val="32"/>
          <w:szCs w:val="32"/>
        </w:rPr>
        <w:t>（二）加强补助资金管理。</w:t>
      </w:r>
      <w:r>
        <w:rPr>
          <w:rFonts w:hint="eastAsia" w:ascii="仿宋_GB2312" w:eastAsia="仿宋_GB2312"/>
          <w:sz w:val="32"/>
          <w:szCs w:val="32"/>
        </w:rPr>
        <w:t>各级财政部门、工业和信息化主管部门要高度重视，加强对保险补偿财政扶持资金的监督管理，确保保费补助资金及时拨付，对套取、截留或挤占挪用财政资金的依法依规严肃处理。</w:t>
      </w:r>
    </w:p>
    <w:p>
      <w:pPr>
        <w:keepNext w:val="0"/>
        <w:keepLines w:val="0"/>
        <w:pageBreakBefore w:val="0"/>
        <w:widowControl w:val="0"/>
        <w:kinsoku/>
        <w:wordWrap/>
        <w:topLinePunct w:val="0"/>
        <w:bidi w:val="0"/>
        <w:adjustRightInd w:val="0"/>
        <w:snapToGrid w:val="0"/>
        <w:spacing w:line="600" w:lineRule="exact"/>
        <w:ind w:firstLine="640" w:firstLineChars="200"/>
        <w:textAlignment w:val="auto"/>
        <w:rPr>
          <w:rFonts w:ascii="仿宋_GB2312" w:eastAsia="仿宋_GB2312"/>
          <w:sz w:val="32"/>
          <w:szCs w:val="32"/>
        </w:rPr>
      </w:pPr>
      <w:r>
        <w:rPr>
          <w:rFonts w:hint="eastAsia" w:ascii="楷体_GB2312" w:eastAsia="楷体_GB2312"/>
          <w:sz w:val="32"/>
          <w:szCs w:val="32"/>
        </w:rPr>
        <w:t>（三）加大保险监督力度。</w:t>
      </w:r>
      <w:r>
        <w:rPr>
          <w:rFonts w:hint="eastAsia" w:ascii="仿宋_GB2312" w:eastAsia="仿宋_GB2312"/>
          <w:sz w:val="32"/>
          <w:szCs w:val="32"/>
        </w:rPr>
        <w:t>山东银保监局将加强对首版次高端软件保险业务活动的监督管理，适时会同省财政厅、省工业和信息化厅对保险补偿工作进行监督检查，发现问题将按照有关法律法规和规定严肃处理。</w:t>
      </w:r>
    </w:p>
    <w:p>
      <w:pPr>
        <w:keepNext w:val="0"/>
        <w:keepLines w:val="0"/>
        <w:pageBreakBefore w:val="0"/>
        <w:widowControl w:val="0"/>
        <w:kinsoku/>
        <w:wordWrap/>
        <w:topLinePunct w:val="0"/>
        <w:bidi w:val="0"/>
        <w:adjustRightInd w:val="0"/>
        <w:snapToGrid w:val="0"/>
        <w:spacing w:line="6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本申报指南仅适用于2020年度符合条件的保险补偿申报，有</w:t>
      </w:r>
      <w:r>
        <w:rPr>
          <w:rFonts w:hint="eastAsia" w:ascii="仿宋_GB2312" w:eastAsia="仿宋_GB2312"/>
          <w:sz w:val="32"/>
          <w:szCs w:val="32"/>
          <w:lang w:eastAsia="zh-CN"/>
        </w:rPr>
        <w:t>效</w:t>
      </w:r>
      <w:r>
        <w:rPr>
          <w:rFonts w:hint="eastAsia" w:ascii="仿宋_GB2312" w:eastAsia="仿宋_GB2312"/>
          <w:sz w:val="32"/>
          <w:szCs w:val="32"/>
        </w:rPr>
        <w:t>期截</w:t>
      </w:r>
      <w:r>
        <w:rPr>
          <w:rFonts w:hint="eastAsia" w:ascii="仿宋_GB2312" w:eastAsia="仿宋_GB2312"/>
          <w:sz w:val="32"/>
          <w:szCs w:val="32"/>
          <w:lang w:eastAsia="zh-CN"/>
        </w:rPr>
        <w:t>至</w:t>
      </w:r>
      <w:bookmarkStart w:id="0" w:name="_GoBack"/>
      <w:bookmarkEnd w:id="0"/>
      <w:r>
        <w:rPr>
          <w:rFonts w:hint="eastAsia" w:ascii="仿宋_GB2312" w:eastAsia="仿宋_GB2312"/>
          <w:sz w:val="32"/>
          <w:szCs w:val="32"/>
        </w:rPr>
        <w:t>2020年12月31日</w:t>
      </w:r>
      <w:r>
        <w:rPr>
          <w:rFonts w:hint="eastAsia" w:ascii="仿宋_GB2312" w:eastAsia="仿宋_GB2312"/>
          <w:sz w:val="32"/>
          <w:szCs w:val="32"/>
          <w:lang w:eastAsia="zh-CN"/>
        </w:rPr>
        <w:t>。</w:t>
      </w:r>
    </w:p>
    <w:p>
      <w:pPr>
        <w:pStyle w:val="2"/>
        <w:rPr>
          <w:rFonts w:hint="eastAsia"/>
          <w:lang w:eastAsia="zh-CN"/>
        </w:rPr>
      </w:pPr>
    </w:p>
    <w:p>
      <w:pPr>
        <w:keepNext w:val="0"/>
        <w:keepLines w:val="0"/>
        <w:pageBreakBefore w:val="0"/>
        <w:widowControl w:val="0"/>
        <w:kinsoku/>
        <w:wordWrap/>
        <w:topLinePunct w:val="0"/>
        <w:bidi w:val="0"/>
        <w:adjustRightInd w:val="0"/>
        <w:snapToGrid w:val="0"/>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 xml:space="preserve">（联系人：省工信厅 </w:t>
      </w:r>
      <w:r>
        <w:rPr>
          <w:rFonts w:hint="eastAsia" w:ascii="仿宋_GB2312" w:eastAsia="仿宋_GB2312"/>
          <w:sz w:val="32"/>
          <w:szCs w:val="32"/>
          <w:lang w:eastAsia="zh-CN"/>
        </w:rPr>
        <w:t>刘洪阳</w:t>
      </w:r>
      <w:r>
        <w:rPr>
          <w:rFonts w:hint="eastAsia" w:ascii="仿宋_GB2312" w:eastAsia="仿宋_GB2312"/>
          <w:sz w:val="32"/>
          <w:szCs w:val="32"/>
        </w:rPr>
        <w:t xml:space="preserve">，0531-86126221；         </w:t>
      </w:r>
    </w:p>
    <w:p>
      <w:pPr>
        <w:keepNext w:val="0"/>
        <w:keepLines w:val="0"/>
        <w:pageBreakBefore w:val="0"/>
        <w:widowControl w:val="0"/>
        <w:kinsoku/>
        <w:wordWrap/>
        <w:topLinePunct w:val="0"/>
        <w:bidi w:val="0"/>
        <w:adjustRightInd w:val="0"/>
        <w:snapToGrid w:val="0"/>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 xml:space="preserve">          山东银保监局 丁欣，0531-81665217）</w:t>
      </w:r>
    </w:p>
    <w:p>
      <w:pPr>
        <w:pStyle w:val="2"/>
        <w:rPr>
          <w:rFonts w:hint="eastAsia" w:ascii="仿宋_GB2312" w:eastAsia="仿宋_GB2312"/>
          <w:sz w:val="32"/>
          <w:szCs w:val="32"/>
        </w:rPr>
      </w:pPr>
    </w:p>
    <w:p>
      <w:pPr>
        <w:pStyle w:val="2"/>
        <w:ind w:firstLine="640" w:firstLineChars="200"/>
        <w:rPr>
          <w:rFonts w:hint="eastAsia" w:ascii="仿宋_GB2312" w:eastAsia="仿宋_GB2312"/>
          <w:sz w:val="32"/>
          <w:szCs w:val="32"/>
          <w:lang w:val="en-US" w:eastAsia="zh-CN"/>
        </w:rPr>
      </w:pPr>
      <w:r>
        <w:rPr>
          <w:rFonts w:hint="eastAsia" w:ascii="仿宋_GB2312" w:eastAsia="仿宋_GB2312"/>
          <w:sz w:val="32"/>
          <w:szCs w:val="32"/>
          <w:lang w:eastAsia="zh-CN"/>
        </w:rPr>
        <w:t>附：</w:t>
      </w:r>
      <w:r>
        <w:rPr>
          <w:rFonts w:hint="eastAsia" w:ascii="仿宋_GB2312" w:eastAsia="仿宋_GB2312"/>
          <w:sz w:val="32"/>
          <w:szCs w:val="32"/>
          <w:lang w:val="en-US" w:eastAsia="zh-CN"/>
        </w:rPr>
        <w:t>3-1.省首版次高端软件产品认定申报条件</w:t>
      </w:r>
    </w:p>
    <w:p>
      <w:pPr>
        <w:pStyle w:val="2"/>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3-2.山东省首版次高端软件保险补偿申请报告模板</w:t>
      </w:r>
    </w:p>
    <w:p>
      <w:pPr>
        <w:keepNext w:val="0"/>
        <w:keepLines w:val="0"/>
        <w:pageBreakBefore w:val="0"/>
        <w:widowControl w:val="0"/>
        <w:kinsoku/>
        <w:wordWrap/>
        <w:overflowPunct w:val="0"/>
        <w:topLinePunct w:val="0"/>
        <w:bidi w:val="0"/>
        <w:spacing w:line="600" w:lineRule="exact"/>
        <w:jc w:val="left"/>
        <w:textAlignment w:val="auto"/>
        <w:rPr>
          <w:rFonts w:ascii="方正小标宋简体" w:hAnsi="方正小标宋简体" w:eastAsia="方正小标宋简体" w:cs="方正小标宋简体"/>
          <w:sz w:val="32"/>
          <w:szCs w:val="32"/>
          <w:lang w:val="zh-CN"/>
        </w:rPr>
      </w:pPr>
    </w:p>
    <w:p>
      <w:pPr>
        <w:keepNext w:val="0"/>
        <w:keepLines w:val="0"/>
        <w:pageBreakBefore w:val="0"/>
        <w:widowControl w:val="0"/>
        <w:kinsoku/>
        <w:wordWrap/>
        <w:topLinePunct w:val="0"/>
        <w:bidi w:val="0"/>
        <w:adjustRightInd w:val="0"/>
        <w:snapToGrid w:val="0"/>
        <w:spacing w:line="600" w:lineRule="exact"/>
        <w:ind w:firstLine="420" w:firstLineChars="200"/>
        <w:textAlignment w:val="auto"/>
        <w:rPr>
          <w:rFonts w:ascii="Times New Roman" w:hAnsi="Times New Roman"/>
          <w:sz w:val="30"/>
        </w:rPr>
      </w:pPr>
      <w:r>
        <w:br w:type="page"/>
      </w:r>
    </w:p>
    <w:p>
      <w:pPr>
        <w:adjustRightInd w:val="0"/>
        <w:snapToGrid w:val="0"/>
        <w:spacing w:line="360" w:lineRule="auto"/>
        <w:rPr>
          <w:rFonts w:hint="eastAsia" w:ascii="黑体" w:hAnsi="黑体" w:eastAsia="黑体" w:cs="黑体"/>
          <w:sz w:val="32"/>
          <w:szCs w:val="32"/>
          <w:lang w:val="en-US" w:eastAsia="zh-CN"/>
        </w:rPr>
      </w:pPr>
      <w:r>
        <w:rPr>
          <w:rFonts w:hint="eastAsia" w:ascii="黑体" w:hAnsi="黑体" w:eastAsia="黑体" w:cs="黑体"/>
          <w:sz w:val="32"/>
          <w:szCs w:val="32"/>
        </w:rPr>
        <w:t>附</w:t>
      </w:r>
      <w:r>
        <w:rPr>
          <w:rFonts w:hint="eastAsia" w:ascii="黑体" w:hAnsi="黑体" w:eastAsia="黑体" w:cs="黑体"/>
          <w:sz w:val="32"/>
          <w:szCs w:val="32"/>
          <w:lang w:val="en-US" w:eastAsia="zh-CN"/>
        </w:rPr>
        <w:t>3-1：</w:t>
      </w:r>
    </w:p>
    <w:p>
      <w:pPr>
        <w:adjustRightInd w:val="0"/>
        <w:snapToGrid w:val="0"/>
        <w:spacing w:line="360" w:lineRule="auto"/>
        <w:jc w:val="center"/>
        <w:rPr>
          <w:rFonts w:ascii="方正小标宋简体" w:eastAsia="方正小标宋简体"/>
          <w:sz w:val="44"/>
          <w:szCs w:val="44"/>
        </w:rPr>
      </w:pPr>
      <w:r>
        <w:rPr>
          <w:rFonts w:hint="eastAsia" w:ascii="方正小标宋简体" w:eastAsia="方正小标宋简体"/>
          <w:sz w:val="44"/>
          <w:szCs w:val="44"/>
        </w:rPr>
        <w:t>省首版次高端软件产品认定申报条件</w:t>
      </w:r>
    </w:p>
    <w:p>
      <w:pPr>
        <w:adjustRightInd w:val="0"/>
        <w:snapToGrid w:val="0"/>
        <w:spacing w:line="360" w:lineRule="auto"/>
        <w:ind w:firstLine="640" w:firstLineChars="200"/>
        <w:rPr>
          <w:rFonts w:ascii="黑体" w:hAnsi="黑体" w:eastAsia="黑体"/>
          <w:sz w:val="32"/>
          <w:szCs w:val="32"/>
        </w:rPr>
      </w:pPr>
      <w:r>
        <w:rPr>
          <w:rFonts w:hint="eastAsia" w:ascii="黑体" w:hAnsi="黑体" w:eastAsia="黑体"/>
          <w:sz w:val="32"/>
          <w:szCs w:val="32"/>
        </w:rPr>
        <w:t>一、基础条件</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w:t>
      </w:r>
      <w:r>
        <w:rPr>
          <w:rFonts w:hint="eastAsia" w:ascii="仿宋_GB2312" w:eastAsia="仿宋_GB2312"/>
          <w:sz w:val="32"/>
          <w:szCs w:val="32"/>
        </w:rPr>
        <w:t>申报主体应是山东省境内注册的独立法人，管理规范、依法纳税、信誉良好、无偷漏税等不良记录，财务状况良好，申报软件研发资金来源有保障。</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val="en-US" w:eastAsia="zh-CN"/>
        </w:rPr>
        <w:t>.</w:t>
      </w:r>
      <w:r>
        <w:rPr>
          <w:rFonts w:hint="eastAsia" w:ascii="仿宋_GB2312" w:eastAsia="仿宋_GB2312"/>
          <w:sz w:val="32"/>
          <w:szCs w:val="32"/>
        </w:rPr>
        <w:t>软件研发完成时间距申请认定时间一般不超过2年，并出具查新报告；具有自主知识产权，产品质量可靠并通过检验检测机构（机构需要通过中国国家认证认可监督管理委员会认定（CMA）或者中国合格评定国家认可委员会认可（CNAS））的检测。</w:t>
      </w:r>
    </w:p>
    <w:p>
      <w:pPr>
        <w:adjustRightInd w:val="0"/>
        <w:snapToGrid w:val="0"/>
        <w:spacing w:line="360" w:lineRule="auto"/>
        <w:ind w:firstLine="640" w:firstLineChars="200"/>
        <w:rPr>
          <w:rFonts w:ascii="黑体" w:hAnsi="黑体" w:eastAsia="黑体"/>
          <w:sz w:val="32"/>
          <w:szCs w:val="32"/>
        </w:rPr>
      </w:pPr>
      <w:r>
        <w:rPr>
          <w:rFonts w:hint="eastAsia" w:ascii="黑体" w:hAnsi="黑体" w:eastAsia="黑体"/>
          <w:sz w:val="32"/>
          <w:szCs w:val="32"/>
        </w:rPr>
        <w:t>二、一般条件</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w:t>
      </w:r>
      <w:r>
        <w:rPr>
          <w:rFonts w:hint="eastAsia" w:ascii="仿宋_GB2312" w:eastAsia="仿宋_GB2312"/>
          <w:sz w:val="32"/>
          <w:szCs w:val="32"/>
        </w:rPr>
        <w:t>申报主体符合以下资质之一：</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通过CMM/CMMI3以上（能力成熟度模型集成）、ITSS（信息技术服务标准）、DCMM（数据管理能力成熟度模型）、ISO27001（信息安全管理体系标准）、ISO20000（信息技术服务管理体系标准）等资质之一或拥有设区市级及以上认定的软件工程技术中心、重点实验室、企业技术中心等资质之一。</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val="en-US" w:eastAsia="zh-CN"/>
        </w:rPr>
        <w:t>.</w:t>
      </w:r>
      <w:r>
        <w:rPr>
          <w:rFonts w:hint="eastAsia" w:ascii="仿宋_GB2312" w:eastAsia="仿宋_GB2312"/>
          <w:sz w:val="32"/>
          <w:szCs w:val="32"/>
        </w:rPr>
        <w:t>申报软件创新度高且具备以下条件之一：</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取得或已申请（已公开）申报软件相关的发明专利一项以上；通过第三方科技成果鉴定，且达到国内先进及以上水平；获得设区市以上奖项的或被设区市以上列为重点项目、优选项目的。</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val="en-US" w:eastAsia="zh-CN"/>
        </w:rPr>
        <w:t>.</w:t>
      </w:r>
      <w:r>
        <w:rPr>
          <w:rFonts w:hint="eastAsia" w:ascii="仿宋_GB2312" w:eastAsia="仿宋_GB2312"/>
          <w:sz w:val="32"/>
          <w:szCs w:val="32"/>
        </w:rPr>
        <w:t>申报软件研发费用支出不低于100万元。</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4</w:t>
      </w:r>
      <w:r>
        <w:rPr>
          <w:rFonts w:hint="eastAsia" w:ascii="仿宋_GB2312" w:eastAsia="仿宋_GB2312"/>
          <w:sz w:val="32"/>
          <w:szCs w:val="32"/>
          <w:lang w:val="en-US" w:eastAsia="zh-CN"/>
        </w:rPr>
        <w:t>.</w:t>
      </w:r>
      <w:r>
        <w:rPr>
          <w:rFonts w:hint="eastAsia" w:ascii="仿宋_GB2312" w:eastAsia="仿宋_GB2312"/>
          <w:sz w:val="32"/>
          <w:szCs w:val="32"/>
        </w:rPr>
        <w:t>申报软件累计销售额或服务额达到100万以上。</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5</w:t>
      </w:r>
      <w:r>
        <w:rPr>
          <w:rFonts w:hint="eastAsia" w:ascii="仿宋_GB2312" w:eastAsia="仿宋_GB2312"/>
          <w:sz w:val="32"/>
          <w:szCs w:val="32"/>
          <w:lang w:val="en-US" w:eastAsia="zh-CN"/>
        </w:rPr>
        <w:t>.</w:t>
      </w:r>
      <w:r>
        <w:rPr>
          <w:rFonts w:hint="eastAsia" w:ascii="仿宋_GB2312" w:eastAsia="仿宋_GB2312"/>
          <w:sz w:val="32"/>
          <w:szCs w:val="32"/>
        </w:rPr>
        <w:t>申报软件尚未获得任何软件首版次补助、支持或认定。</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6</w:t>
      </w:r>
      <w:r>
        <w:rPr>
          <w:rFonts w:hint="eastAsia" w:ascii="仿宋_GB2312" w:eastAsia="仿宋_GB2312"/>
          <w:sz w:val="32"/>
          <w:szCs w:val="32"/>
          <w:lang w:val="en-US" w:eastAsia="zh-CN"/>
        </w:rPr>
        <w:t>.</w:t>
      </w:r>
      <w:r>
        <w:rPr>
          <w:rFonts w:hint="eastAsia" w:ascii="仿宋_GB2312" w:eastAsia="仿宋_GB2312"/>
          <w:sz w:val="32"/>
          <w:szCs w:val="32"/>
        </w:rPr>
        <w:t>申报企业研制开发的仅限于自用的软件和用户定制的非通用软件不属于首版次认定范围。</w:t>
      </w:r>
    </w:p>
    <w:p>
      <w:pPr>
        <w:adjustRightInd w:val="0"/>
        <w:snapToGrid w:val="0"/>
        <w:spacing w:line="360" w:lineRule="auto"/>
        <w:ind w:firstLine="640" w:firstLineChars="200"/>
        <w:rPr>
          <w:rFonts w:ascii="黑体" w:hAnsi="黑体" w:eastAsia="黑体"/>
          <w:sz w:val="32"/>
          <w:szCs w:val="32"/>
        </w:rPr>
      </w:pPr>
      <w:r>
        <w:rPr>
          <w:rFonts w:hint="eastAsia" w:ascii="黑体" w:hAnsi="黑体" w:eastAsia="黑体"/>
          <w:sz w:val="32"/>
          <w:szCs w:val="32"/>
        </w:rPr>
        <w:t>三、其他情况</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申报软件符合基础条件且满足下列条件之一，可不受一般条件约束。</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w:t>
      </w:r>
      <w:r>
        <w:rPr>
          <w:rFonts w:hint="eastAsia" w:ascii="仿宋_GB2312" w:eastAsia="仿宋_GB2312"/>
          <w:sz w:val="32"/>
          <w:szCs w:val="32"/>
        </w:rPr>
        <w:t>获得省部级以上奖项的或被省部级以上列为重点项目、优选项目的。</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val="en-US" w:eastAsia="zh-CN"/>
        </w:rPr>
        <w:t>.</w:t>
      </w:r>
      <w:r>
        <w:rPr>
          <w:rFonts w:hint="eastAsia" w:ascii="仿宋_GB2312" w:eastAsia="仿宋_GB2312"/>
          <w:sz w:val="32"/>
          <w:szCs w:val="32"/>
        </w:rPr>
        <w:t>通过第三方科技成果鉴定，达到国内、国际领先水平。</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val="en-US" w:eastAsia="zh-CN"/>
        </w:rPr>
        <w:t>.</w:t>
      </w:r>
      <w:r>
        <w:rPr>
          <w:rFonts w:hint="eastAsia" w:ascii="仿宋_GB2312" w:eastAsia="仿宋_GB2312"/>
          <w:sz w:val="32"/>
          <w:szCs w:val="32"/>
        </w:rPr>
        <w:t>市场前景良好且累计销售额或服务额500万以上的。</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4</w:t>
      </w:r>
      <w:r>
        <w:rPr>
          <w:rFonts w:hint="eastAsia" w:ascii="仿宋_GB2312" w:eastAsia="仿宋_GB2312"/>
          <w:sz w:val="32"/>
          <w:szCs w:val="32"/>
          <w:lang w:val="en-US" w:eastAsia="zh-CN"/>
        </w:rPr>
        <w:t>.</w:t>
      </w:r>
      <w:r>
        <w:rPr>
          <w:rFonts w:hint="eastAsia" w:ascii="仿宋_GB2312" w:eastAsia="仿宋_GB2312"/>
          <w:sz w:val="32"/>
          <w:szCs w:val="32"/>
        </w:rPr>
        <w:t>打破垄断、替代进口或填补新兴产业链条断点和薄弱环节、填补国内或省内空白的。</w:t>
      </w:r>
    </w:p>
    <w:p>
      <w:pPr>
        <w:jc w:val="left"/>
        <w:rPr>
          <w:rFonts w:ascii="仿宋_GB2312" w:eastAsia="仿宋_GB2312"/>
          <w:sz w:val="32"/>
          <w:szCs w:val="32"/>
        </w:rPr>
      </w:pPr>
      <w:r>
        <w:rPr>
          <w:rFonts w:hint="eastAsia" w:ascii="仿宋_GB2312" w:eastAsia="仿宋_GB2312"/>
          <w:sz w:val="32"/>
          <w:szCs w:val="32"/>
        </w:rPr>
        <w:t xml:space="preserve">    5</w:t>
      </w:r>
      <w:r>
        <w:rPr>
          <w:rFonts w:hint="eastAsia" w:ascii="仿宋_GB2312" w:eastAsia="仿宋_GB2312"/>
          <w:sz w:val="32"/>
          <w:szCs w:val="32"/>
          <w:lang w:val="en-US" w:eastAsia="zh-CN"/>
        </w:rPr>
        <w:t>.</w:t>
      </w:r>
      <w:r>
        <w:rPr>
          <w:rFonts w:hint="eastAsia" w:ascii="仿宋_GB2312" w:eastAsia="仿宋_GB2312"/>
          <w:sz w:val="32"/>
          <w:szCs w:val="32"/>
        </w:rPr>
        <w:t>基于鲲鹏、龙芯、飞腾等国产软硬件生态体系且通过相应兼容性测试的。</w:t>
      </w:r>
    </w:p>
    <w:p>
      <w:pPr>
        <w:adjustRightInd w:val="0"/>
        <w:snapToGrid w:val="0"/>
        <w:spacing w:line="360" w:lineRule="auto"/>
        <w:ind w:firstLine="640" w:firstLineChars="200"/>
        <w:rPr>
          <w:rFonts w:ascii="仿宋_GB2312" w:eastAsia="仿宋_GB2312"/>
          <w:sz w:val="32"/>
          <w:szCs w:val="32"/>
        </w:rPr>
      </w:pPr>
      <w:r>
        <w:rPr>
          <w:rFonts w:ascii="仿宋_GB2312" w:eastAsia="仿宋_GB2312"/>
          <w:sz w:val="32"/>
          <w:szCs w:val="32"/>
        </w:rPr>
        <w:br w:type="page"/>
      </w:r>
    </w:p>
    <w:p>
      <w:pPr>
        <w:jc w:val="left"/>
        <w:rPr>
          <w:rFonts w:hint="eastAsia" w:ascii="黑体" w:hAnsi="黑体" w:eastAsia="黑体" w:cs="黑体"/>
          <w:sz w:val="32"/>
          <w:szCs w:val="32"/>
          <w:lang w:eastAsia="zh-CN"/>
        </w:rPr>
      </w:pPr>
      <w:r>
        <w:rPr>
          <w:rFonts w:hint="eastAsia" w:ascii="黑体" w:hAnsi="黑体" w:eastAsia="黑体" w:cs="黑体"/>
          <w:sz w:val="32"/>
          <w:szCs w:val="32"/>
        </w:rPr>
        <w:t>附</w:t>
      </w:r>
      <w:r>
        <w:rPr>
          <w:rFonts w:hint="eastAsia" w:ascii="黑体" w:hAnsi="黑体" w:eastAsia="黑体" w:cs="黑体"/>
          <w:sz w:val="32"/>
          <w:szCs w:val="32"/>
          <w:lang w:val="en-US" w:eastAsia="zh-CN"/>
        </w:rPr>
        <w:t>3-</w:t>
      </w:r>
      <w:r>
        <w:rPr>
          <w:rFonts w:hint="eastAsia" w:ascii="黑体" w:hAnsi="黑体" w:eastAsia="黑体" w:cs="黑体"/>
          <w:sz w:val="32"/>
          <w:szCs w:val="32"/>
        </w:rPr>
        <w:t>2</w:t>
      </w:r>
      <w:r>
        <w:rPr>
          <w:rFonts w:hint="eastAsia" w:ascii="黑体" w:hAnsi="黑体" w:eastAsia="黑体" w:cs="黑体"/>
          <w:sz w:val="32"/>
          <w:szCs w:val="32"/>
          <w:lang w:eastAsia="zh-CN"/>
        </w:rPr>
        <w:t>：</w:t>
      </w:r>
    </w:p>
    <w:p>
      <w:pPr>
        <w:jc w:val="center"/>
        <w:rPr>
          <w:rFonts w:eastAsia="方正小标宋简体"/>
          <w:b/>
          <w:bCs/>
          <w:sz w:val="36"/>
        </w:rPr>
      </w:pPr>
    </w:p>
    <w:p>
      <w:pPr>
        <w:jc w:val="center"/>
        <w:rPr>
          <w:rFonts w:ascii="方正小标宋简体" w:eastAsia="方正小标宋简体" w:cs="宋体"/>
          <w:kern w:val="0"/>
          <w:sz w:val="44"/>
          <w:szCs w:val="44"/>
        </w:rPr>
      </w:pPr>
    </w:p>
    <w:p>
      <w:pPr>
        <w:jc w:val="center"/>
        <w:rPr>
          <w:rFonts w:ascii="Times New Roman" w:hAnsi="Times New Roman" w:eastAsia="方正小标宋简体"/>
          <w:kern w:val="0"/>
          <w:sz w:val="44"/>
          <w:szCs w:val="44"/>
        </w:rPr>
      </w:pPr>
      <w:r>
        <w:rPr>
          <w:rFonts w:ascii="Times New Roman" w:hAnsi="Times New Roman" w:eastAsia="方正小标宋简体"/>
          <w:kern w:val="0"/>
          <w:sz w:val="44"/>
          <w:szCs w:val="44"/>
        </w:rPr>
        <w:t>山东省首版次高端软件保险补偿</w:t>
      </w:r>
    </w:p>
    <w:p>
      <w:pPr>
        <w:jc w:val="center"/>
        <w:rPr>
          <w:rFonts w:ascii="Times New Roman" w:hAnsi="Times New Roman"/>
        </w:rPr>
      </w:pPr>
      <w:r>
        <w:rPr>
          <w:rFonts w:ascii="Times New Roman" w:hAnsi="Times New Roman" w:eastAsia="方正小标宋简体"/>
          <w:sz w:val="44"/>
          <w:szCs w:val="44"/>
        </w:rPr>
        <w:t>申请报</w:t>
      </w:r>
      <w:r>
        <w:rPr>
          <w:rFonts w:hint="eastAsia" w:ascii="Times New Roman" w:hAnsi="Times New Roman" w:eastAsia="方正小标宋简体"/>
          <w:sz w:val="44"/>
          <w:szCs w:val="44"/>
        </w:rPr>
        <w:t>告模板</w:t>
      </w:r>
    </w:p>
    <w:p>
      <w:pPr>
        <w:rPr>
          <w:rFonts w:ascii="Times New Roman" w:hAnsi="Times New Roman"/>
        </w:rPr>
      </w:pPr>
    </w:p>
    <w:p>
      <w:pPr>
        <w:rPr>
          <w:rFonts w:ascii="Times New Roman" w:hAnsi="Times New Roman"/>
        </w:rPr>
      </w:pPr>
    </w:p>
    <w:p>
      <w:pPr>
        <w:rPr>
          <w:rFonts w:ascii="Times New Roman" w:hAnsi="Times New Roman"/>
          <w:sz w:val="32"/>
          <w:szCs w:val="32"/>
        </w:rPr>
      </w:pPr>
    </w:p>
    <w:p>
      <w:pPr>
        <w:rPr>
          <w:rFonts w:ascii="Times New Roman" w:hAnsi="Times New Roman"/>
          <w:sz w:val="32"/>
          <w:szCs w:val="32"/>
        </w:rPr>
      </w:pPr>
    </w:p>
    <w:p>
      <w:pPr>
        <w:rPr>
          <w:rFonts w:ascii="Times New Roman" w:hAnsi="Times New Roman"/>
          <w:sz w:val="32"/>
          <w:szCs w:val="32"/>
        </w:rPr>
      </w:pPr>
    </w:p>
    <w:p>
      <w:pPr>
        <w:rPr>
          <w:rFonts w:ascii="Times New Roman" w:hAnsi="Times New Roman"/>
          <w:sz w:val="32"/>
          <w:szCs w:val="32"/>
        </w:rPr>
      </w:pPr>
    </w:p>
    <w:p>
      <w:pPr>
        <w:rPr>
          <w:rFonts w:ascii="Times New Roman" w:hAnsi="Times New Roman"/>
          <w:sz w:val="32"/>
          <w:szCs w:val="32"/>
        </w:rPr>
      </w:pPr>
    </w:p>
    <w:p>
      <w:pPr>
        <w:jc w:val="left"/>
        <w:rPr>
          <w:rFonts w:ascii="Times New Roman" w:hAnsi="Times New Roman" w:eastAsia="黑体"/>
          <w:sz w:val="32"/>
          <w:szCs w:val="32"/>
        </w:rPr>
      </w:pPr>
      <w:r>
        <w:rPr>
          <w:rFonts w:ascii="Times New Roman" w:hAnsi="Times New Roman" w:eastAsia="黑体"/>
          <w:sz w:val="32"/>
          <w:szCs w:val="32"/>
        </w:rPr>
        <w:t xml:space="preserve">  </w:t>
      </w:r>
      <w:r>
        <w:rPr>
          <w:rFonts w:hint="eastAsia" w:ascii="Times New Roman" w:hAnsi="Times New Roman" w:eastAsia="黑体"/>
          <w:sz w:val="32"/>
          <w:szCs w:val="32"/>
        </w:rPr>
        <w:tab/>
      </w:r>
      <w:r>
        <w:rPr>
          <w:rFonts w:ascii="Times New Roman" w:hAnsi="Times New Roman" w:eastAsia="黑体"/>
          <w:sz w:val="32"/>
          <w:szCs w:val="32"/>
        </w:rPr>
        <w:t>软件名称及版本号：</w:t>
      </w:r>
    </w:p>
    <w:p>
      <w:pPr>
        <w:jc w:val="left"/>
        <w:rPr>
          <w:rFonts w:ascii="Times New Roman" w:hAnsi="Times New Roman" w:eastAsia="黑体"/>
          <w:sz w:val="32"/>
          <w:szCs w:val="32"/>
        </w:rPr>
      </w:pPr>
      <w:r>
        <w:rPr>
          <w:rFonts w:hint="eastAsia" w:ascii="Times New Roman" w:hAnsi="Times New Roman" w:eastAsia="黑体"/>
          <w:sz w:val="32"/>
          <w:szCs w:val="32"/>
        </w:rPr>
        <w:t xml:space="preserve">  </w:t>
      </w:r>
      <w:r>
        <w:rPr>
          <w:rFonts w:hint="eastAsia" w:ascii="Times New Roman" w:hAnsi="Times New Roman" w:eastAsia="黑体"/>
          <w:sz w:val="32"/>
          <w:szCs w:val="32"/>
        </w:rPr>
        <w:tab/>
      </w:r>
      <w:r>
        <w:rPr>
          <w:rFonts w:ascii="Times New Roman" w:hAnsi="Times New Roman" w:eastAsia="黑体"/>
          <w:sz w:val="32"/>
          <w:szCs w:val="32"/>
        </w:rPr>
        <w:t>申  报  单  位：  (公章)</w:t>
      </w:r>
    </w:p>
    <w:p>
      <w:pPr>
        <w:jc w:val="left"/>
        <w:rPr>
          <w:rFonts w:ascii="Times New Roman" w:hAnsi="Times New Roman" w:eastAsia="黑体"/>
          <w:spacing w:val="20"/>
          <w:sz w:val="32"/>
          <w:szCs w:val="32"/>
        </w:rPr>
      </w:pPr>
      <w:r>
        <w:rPr>
          <w:rFonts w:hint="eastAsia" w:ascii="Times New Roman" w:hAnsi="Times New Roman" w:eastAsia="黑体"/>
          <w:sz w:val="32"/>
          <w:szCs w:val="32"/>
        </w:rPr>
        <w:t xml:space="preserve">  </w:t>
      </w:r>
      <w:r>
        <w:rPr>
          <w:rFonts w:hint="eastAsia" w:ascii="Times New Roman" w:hAnsi="Times New Roman" w:eastAsia="黑体"/>
          <w:sz w:val="32"/>
          <w:szCs w:val="32"/>
        </w:rPr>
        <w:tab/>
      </w:r>
      <w:r>
        <w:rPr>
          <w:rFonts w:ascii="Times New Roman" w:hAnsi="Times New Roman" w:eastAsia="黑体"/>
          <w:spacing w:val="20"/>
          <w:sz w:val="32"/>
          <w:szCs w:val="32"/>
        </w:rPr>
        <w:t>联系人及电话：</w:t>
      </w:r>
    </w:p>
    <w:p>
      <w:pPr>
        <w:jc w:val="left"/>
        <w:rPr>
          <w:rFonts w:ascii="Times New Roman" w:hAnsi="Times New Roman"/>
          <w:sz w:val="32"/>
          <w:szCs w:val="32"/>
          <w:u w:val="single"/>
        </w:rPr>
      </w:pPr>
      <w:r>
        <w:rPr>
          <w:rFonts w:hint="eastAsia" w:ascii="Times New Roman" w:hAnsi="Times New Roman" w:eastAsia="黑体"/>
          <w:spacing w:val="20"/>
          <w:sz w:val="32"/>
          <w:szCs w:val="32"/>
        </w:rPr>
        <w:t xml:space="preserve">  </w:t>
      </w:r>
      <w:r>
        <w:rPr>
          <w:rFonts w:ascii="Times New Roman" w:hAnsi="Times New Roman" w:eastAsia="黑体"/>
          <w:sz w:val="32"/>
          <w:szCs w:val="32"/>
        </w:rPr>
        <w:t>申  报  日  期：  年</w:t>
      </w:r>
      <w:r>
        <w:rPr>
          <w:rFonts w:hint="eastAsia" w:ascii="Times New Roman" w:hAnsi="Times New Roman" w:eastAsia="黑体"/>
          <w:sz w:val="32"/>
          <w:szCs w:val="32"/>
        </w:rPr>
        <w:t xml:space="preserve"> </w:t>
      </w:r>
      <w:r>
        <w:rPr>
          <w:rFonts w:ascii="Times New Roman" w:hAnsi="Times New Roman" w:eastAsia="黑体"/>
          <w:sz w:val="32"/>
          <w:szCs w:val="32"/>
        </w:rPr>
        <w:t>月</w:t>
      </w:r>
      <w:r>
        <w:rPr>
          <w:rFonts w:hint="eastAsia" w:ascii="Times New Roman" w:hAnsi="Times New Roman" w:eastAsia="黑体"/>
          <w:sz w:val="32"/>
          <w:szCs w:val="32"/>
        </w:rPr>
        <w:t xml:space="preserve"> </w:t>
      </w:r>
      <w:r>
        <w:rPr>
          <w:rFonts w:ascii="Times New Roman" w:hAnsi="Times New Roman" w:eastAsia="黑体"/>
          <w:sz w:val="32"/>
          <w:szCs w:val="32"/>
        </w:rPr>
        <w:t>日</w:t>
      </w:r>
      <w:r>
        <w:rPr>
          <w:rFonts w:hint="eastAsia" w:ascii="Times New Roman" w:hAnsi="Times New Roman" w:eastAsia="黑体"/>
          <w:sz w:val="32"/>
          <w:szCs w:val="32"/>
        </w:rPr>
        <w:t xml:space="preserve"> </w:t>
      </w:r>
    </w:p>
    <w:p>
      <w:pPr>
        <w:jc w:val="center"/>
        <w:rPr>
          <w:rFonts w:ascii="Times New Roman" w:hAnsi="Times New Roman"/>
          <w:sz w:val="32"/>
          <w:szCs w:val="32"/>
        </w:rPr>
      </w:pPr>
    </w:p>
    <w:p>
      <w:pPr>
        <w:jc w:val="center"/>
        <w:rPr>
          <w:rFonts w:ascii="Times New Roman" w:hAnsi="Times New Roman"/>
          <w:sz w:val="32"/>
          <w:szCs w:val="32"/>
        </w:rPr>
      </w:pPr>
    </w:p>
    <w:p>
      <w:pPr>
        <w:jc w:val="center"/>
        <w:rPr>
          <w:rFonts w:ascii="Times New Roman" w:hAnsi="Times New Roman"/>
          <w:sz w:val="32"/>
          <w:szCs w:val="32"/>
        </w:rPr>
        <w:sectPr>
          <w:footerReference r:id="rId5" w:type="first"/>
          <w:footerReference r:id="rId3" w:type="default"/>
          <w:footerReference r:id="rId4" w:type="even"/>
          <w:pgSz w:w="11907" w:h="16840"/>
          <w:pgMar w:top="1417" w:right="1644" w:bottom="1417" w:left="1644" w:header="851" w:footer="1361" w:gutter="0"/>
          <w:pgNumType w:start="20"/>
          <w:cols w:space="720" w:num="1"/>
          <w:docGrid w:type="lines" w:linePitch="312" w:charSpace="0"/>
        </w:sectPr>
      </w:pPr>
      <w:r>
        <w:rPr>
          <w:rFonts w:ascii="Times New Roman" w:hAnsi="Times New Roman"/>
          <w:sz w:val="32"/>
          <w:szCs w:val="32"/>
        </w:rPr>
        <w:t>　</w:t>
      </w:r>
    </w:p>
    <w:p>
      <w:pPr>
        <w:jc w:val="center"/>
        <w:rPr>
          <w:rFonts w:ascii="Times New Roman" w:hAnsi="Times New Roman" w:eastAsia="黑体"/>
          <w:b/>
          <w:szCs w:val="32"/>
        </w:rPr>
      </w:pPr>
    </w:p>
    <w:p>
      <w:pPr>
        <w:jc w:val="center"/>
        <w:rPr>
          <w:rFonts w:ascii="Times New Roman" w:hAnsi="Times New Roman" w:eastAsia="黑体"/>
          <w:sz w:val="44"/>
          <w:szCs w:val="44"/>
        </w:rPr>
      </w:pPr>
      <w:r>
        <w:rPr>
          <w:rFonts w:ascii="Times New Roman" w:hAnsi="Times New Roman" w:eastAsia="黑体"/>
          <w:sz w:val="44"/>
          <w:szCs w:val="44"/>
        </w:rPr>
        <w:t>填　报　说　明</w:t>
      </w:r>
    </w:p>
    <w:p>
      <w:pPr>
        <w:pStyle w:val="2"/>
        <w:rPr>
          <w:sz w:val="28"/>
          <w:szCs w:val="28"/>
        </w:rPr>
      </w:pPr>
    </w:p>
    <w:p>
      <w:pPr>
        <w:spacing w:line="620" w:lineRule="exact"/>
        <w:ind w:firstLine="640"/>
        <w:rPr>
          <w:rFonts w:ascii="仿宋_GB2312" w:hAnsi="Times New Roman" w:eastAsia="仿宋_GB2312"/>
          <w:sz w:val="32"/>
          <w:szCs w:val="32"/>
        </w:rPr>
      </w:pPr>
      <w:r>
        <w:rPr>
          <w:rFonts w:hint="eastAsia" w:ascii="仿宋_GB2312" w:hAnsi="Times New Roman" w:eastAsia="仿宋_GB2312"/>
          <w:sz w:val="32"/>
          <w:szCs w:val="32"/>
        </w:rPr>
        <w:t>1.统一用 A4 纸；</w:t>
      </w:r>
    </w:p>
    <w:p>
      <w:pPr>
        <w:spacing w:line="620" w:lineRule="exact"/>
        <w:ind w:firstLine="640"/>
        <w:rPr>
          <w:rFonts w:ascii="仿宋_GB2312" w:hAnsi="Times New Roman" w:eastAsia="仿宋_GB2312"/>
          <w:sz w:val="32"/>
          <w:szCs w:val="32"/>
        </w:rPr>
      </w:pPr>
      <w:r>
        <w:rPr>
          <w:rFonts w:hint="eastAsia" w:ascii="仿宋_GB2312" w:hAnsi="Times New Roman" w:eastAsia="仿宋_GB2312"/>
          <w:sz w:val="32"/>
          <w:szCs w:val="32"/>
        </w:rPr>
        <w:t>2.按格式要求填写编写，除另有说明外，栏目内容不得空缺；</w:t>
      </w:r>
    </w:p>
    <w:p>
      <w:pPr>
        <w:spacing w:line="620" w:lineRule="exact"/>
        <w:ind w:firstLine="640"/>
        <w:rPr>
          <w:rFonts w:ascii="仿宋_GB2312" w:hAnsi="Times New Roman" w:eastAsia="仿宋_GB2312"/>
          <w:sz w:val="32"/>
          <w:szCs w:val="32"/>
        </w:rPr>
      </w:pPr>
      <w:r>
        <w:rPr>
          <w:rFonts w:hint="eastAsia" w:ascii="仿宋_GB2312" w:hAnsi="Times New Roman" w:eastAsia="仿宋_GB2312"/>
          <w:sz w:val="32"/>
          <w:szCs w:val="32"/>
        </w:rPr>
        <w:t>3.文字叙述部分用小四号仿宋GB2312字体；</w:t>
      </w:r>
    </w:p>
    <w:p>
      <w:pPr>
        <w:spacing w:line="620" w:lineRule="exact"/>
        <w:ind w:firstLine="640"/>
        <w:rPr>
          <w:rFonts w:ascii="仿宋_GB2312" w:hAnsi="Times New Roman" w:eastAsia="仿宋_GB2312"/>
          <w:sz w:val="32"/>
          <w:szCs w:val="32"/>
        </w:rPr>
      </w:pPr>
      <w:r>
        <w:rPr>
          <w:rFonts w:hint="eastAsia" w:ascii="仿宋_GB2312" w:hAnsi="Times New Roman" w:eastAsia="仿宋_GB2312"/>
          <w:sz w:val="32"/>
          <w:szCs w:val="32"/>
        </w:rPr>
        <w:t>4.未尽事宜，可另附文字材料说明；</w:t>
      </w:r>
    </w:p>
    <w:p>
      <w:pPr>
        <w:spacing w:line="620" w:lineRule="exact"/>
        <w:ind w:firstLine="640"/>
        <w:rPr>
          <w:rFonts w:ascii="仿宋_GB2312" w:hAnsi="Times New Roman" w:eastAsia="仿宋_GB2312"/>
          <w:sz w:val="32"/>
          <w:szCs w:val="32"/>
        </w:rPr>
      </w:pPr>
      <w:r>
        <w:rPr>
          <w:rFonts w:hint="eastAsia" w:ascii="仿宋_GB2312" w:hAnsi="Times New Roman" w:eastAsia="仿宋_GB2312"/>
          <w:sz w:val="32"/>
          <w:szCs w:val="32"/>
        </w:rPr>
        <w:t>5.内容双面印刷，申报材料要求盖章处，须加盖公章；</w:t>
      </w:r>
    </w:p>
    <w:p>
      <w:pPr>
        <w:spacing w:line="620" w:lineRule="exact"/>
        <w:ind w:firstLine="640"/>
        <w:rPr>
          <w:rFonts w:ascii="仿宋_GB2312" w:hAnsi="Times New Roman" w:eastAsia="仿宋_GB2312"/>
          <w:sz w:val="32"/>
          <w:szCs w:val="32"/>
        </w:rPr>
      </w:pPr>
      <w:r>
        <w:rPr>
          <w:rFonts w:hint="eastAsia" w:ascii="仿宋_GB2312" w:hAnsi="Times New Roman" w:eastAsia="仿宋_GB2312"/>
          <w:sz w:val="32"/>
          <w:szCs w:val="32"/>
        </w:rPr>
        <w:t>6.提交申请报告时，应同时提交相关证明材料，确保真实并按要求顺序合并简装（勿使用塑料封皮），加盖骑缝章。</w:t>
      </w:r>
    </w:p>
    <w:p>
      <w:pPr>
        <w:spacing w:line="620" w:lineRule="exact"/>
        <w:ind w:firstLine="640"/>
        <w:rPr>
          <w:rFonts w:ascii="仿宋_GB2312" w:hAnsi="Times New Roman" w:eastAsia="仿宋_GB2312"/>
          <w:sz w:val="36"/>
          <w:szCs w:val="36"/>
        </w:rPr>
        <w:sectPr>
          <w:footerReference r:id="rId6" w:type="default"/>
          <w:pgSz w:w="11906" w:h="16838"/>
          <w:pgMar w:top="1440" w:right="1800" w:bottom="1440" w:left="1800" w:header="851" w:footer="992" w:gutter="0"/>
          <w:cols w:space="425" w:num="1"/>
          <w:docGrid w:type="lines" w:linePitch="312" w:charSpace="0"/>
        </w:sectPr>
      </w:pPr>
      <w:r>
        <w:rPr>
          <w:rFonts w:hint="eastAsia" w:ascii="仿宋_GB2312" w:hAnsi="Times New Roman" w:eastAsia="仿宋_GB2312"/>
          <w:sz w:val="32"/>
          <w:szCs w:val="32"/>
        </w:rPr>
        <w:t>7.封面后为目录页，依序注明申请表、承诺书、具体支撑材料名称及相应页码。</w:t>
      </w:r>
    </w:p>
    <w:tbl>
      <w:tblPr>
        <w:tblStyle w:val="8"/>
        <w:tblW w:w="13980" w:type="dxa"/>
        <w:tblInd w:w="0" w:type="dxa"/>
        <w:tblLayout w:type="fixed"/>
        <w:tblCellMar>
          <w:top w:w="15" w:type="dxa"/>
          <w:left w:w="15" w:type="dxa"/>
          <w:bottom w:w="15" w:type="dxa"/>
          <w:right w:w="15" w:type="dxa"/>
        </w:tblCellMar>
      </w:tblPr>
      <w:tblGrid>
        <w:gridCol w:w="1222"/>
        <w:gridCol w:w="1407"/>
        <w:gridCol w:w="1438"/>
        <w:gridCol w:w="1037"/>
        <w:gridCol w:w="1392"/>
        <w:gridCol w:w="1599"/>
        <w:gridCol w:w="578"/>
        <w:gridCol w:w="1167"/>
        <w:gridCol w:w="1976"/>
        <w:gridCol w:w="2164"/>
      </w:tblGrid>
      <w:tr>
        <w:tblPrEx>
          <w:tblLayout w:type="fixed"/>
          <w:tblCellMar>
            <w:top w:w="15" w:type="dxa"/>
            <w:left w:w="15" w:type="dxa"/>
            <w:bottom w:w="15" w:type="dxa"/>
            <w:right w:w="15" w:type="dxa"/>
          </w:tblCellMar>
        </w:tblPrEx>
        <w:trPr>
          <w:trHeight w:val="722" w:hRule="atLeast"/>
        </w:trPr>
        <w:tc>
          <w:tcPr>
            <w:tcW w:w="13980" w:type="dxa"/>
            <w:gridSpan w:val="10"/>
            <w:vAlign w:val="center"/>
          </w:tcPr>
          <w:p>
            <w:pPr>
              <w:jc w:val="center"/>
              <w:rPr>
                <w:rFonts w:ascii="方正小标宋简体" w:hAnsi="黑体" w:eastAsia="方正小标宋简体"/>
                <w:sz w:val="44"/>
                <w:szCs w:val="44"/>
              </w:rPr>
            </w:pPr>
            <w:r>
              <w:rPr>
                <w:rFonts w:hint="eastAsia" w:ascii="方正小标宋简体" w:hAnsi="黑体" w:eastAsia="方正小标宋简体"/>
                <w:kern w:val="0"/>
                <w:sz w:val="44"/>
                <w:szCs w:val="44"/>
              </w:rPr>
              <w:t>山东省首版次高端软件保险补偿申请表</w:t>
            </w:r>
          </w:p>
        </w:tc>
      </w:tr>
      <w:tr>
        <w:tblPrEx>
          <w:tblLayout w:type="fixed"/>
          <w:tblCellMar>
            <w:top w:w="15" w:type="dxa"/>
            <w:left w:w="15" w:type="dxa"/>
            <w:bottom w:w="15" w:type="dxa"/>
            <w:right w:w="15" w:type="dxa"/>
          </w:tblCellMar>
        </w:tblPrEx>
        <w:trPr>
          <w:trHeight w:val="360" w:hRule="atLeast"/>
        </w:trPr>
        <w:tc>
          <w:tcPr>
            <w:tcW w:w="1222" w:type="dxa"/>
            <w:vAlign w:val="bottom"/>
          </w:tcPr>
          <w:p>
            <w:pPr>
              <w:rPr>
                <w:rFonts w:ascii="Times New Roman" w:hAnsi="Times New Roman" w:eastAsia="宋体"/>
                <w:szCs w:val="21"/>
              </w:rPr>
            </w:pPr>
          </w:p>
        </w:tc>
        <w:tc>
          <w:tcPr>
            <w:tcW w:w="1407" w:type="dxa"/>
            <w:vAlign w:val="center"/>
          </w:tcPr>
          <w:p>
            <w:pPr>
              <w:rPr>
                <w:rFonts w:ascii="Times New Roman" w:hAnsi="Times New Roman"/>
                <w:szCs w:val="21"/>
              </w:rPr>
            </w:pPr>
          </w:p>
        </w:tc>
        <w:tc>
          <w:tcPr>
            <w:tcW w:w="1438" w:type="dxa"/>
            <w:vAlign w:val="center"/>
          </w:tcPr>
          <w:p>
            <w:pPr>
              <w:rPr>
                <w:rFonts w:ascii="Times New Roman" w:hAnsi="Times New Roman"/>
                <w:szCs w:val="21"/>
              </w:rPr>
            </w:pPr>
          </w:p>
        </w:tc>
        <w:tc>
          <w:tcPr>
            <w:tcW w:w="1037" w:type="dxa"/>
            <w:vAlign w:val="center"/>
          </w:tcPr>
          <w:p>
            <w:pPr>
              <w:rPr>
                <w:rFonts w:ascii="Times New Roman" w:hAnsi="Times New Roman"/>
                <w:szCs w:val="21"/>
              </w:rPr>
            </w:pPr>
          </w:p>
        </w:tc>
        <w:tc>
          <w:tcPr>
            <w:tcW w:w="1392" w:type="dxa"/>
            <w:vAlign w:val="center"/>
          </w:tcPr>
          <w:p>
            <w:pPr>
              <w:rPr>
                <w:rFonts w:ascii="Times New Roman" w:hAnsi="Times New Roman"/>
                <w:szCs w:val="21"/>
              </w:rPr>
            </w:pPr>
          </w:p>
        </w:tc>
        <w:tc>
          <w:tcPr>
            <w:tcW w:w="2177" w:type="dxa"/>
            <w:gridSpan w:val="2"/>
            <w:vAlign w:val="center"/>
          </w:tcPr>
          <w:p>
            <w:pPr>
              <w:rPr>
                <w:rFonts w:ascii="Times New Roman" w:hAnsi="Times New Roman"/>
                <w:szCs w:val="21"/>
              </w:rPr>
            </w:pPr>
          </w:p>
        </w:tc>
        <w:tc>
          <w:tcPr>
            <w:tcW w:w="5307" w:type="dxa"/>
            <w:gridSpan w:val="3"/>
            <w:tcBorders>
              <w:bottom w:val="single" w:color="000000" w:sz="4" w:space="0"/>
            </w:tcBorders>
            <w:vAlign w:val="center"/>
          </w:tcPr>
          <w:p>
            <w:pPr>
              <w:widowControl/>
              <w:jc w:val="right"/>
              <w:textAlignment w:val="center"/>
              <w:rPr>
                <w:rFonts w:ascii="Times New Roman" w:hAnsi="Times New Roman"/>
                <w:sz w:val="24"/>
                <w:szCs w:val="24"/>
              </w:rPr>
            </w:pPr>
            <w:r>
              <w:rPr>
                <w:rFonts w:ascii="Times New Roman" w:hAnsi="Times New Roman"/>
                <w:kern w:val="0"/>
                <w:sz w:val="24"/>
                <w:szCs w:val="24"/>
              </w:rPr>
              <w:t>填报时间：</w:t>
            </w:r>
            <w:r>
              <w:rPr>
                <w:rStyle w:val="17"/>
                <w:rFonts w:hint="default" w:ascii="Times New Roman" w:hAnsi="Times New Roman" w:cs="Times New Roman"/>
                <w:color w:val="auto"/>
              </w:rPr>
              <w:t>年月日</w:t>
            </w:r>
          </w:p>
        </w:tc>
      </w:tr>
      <w:tr>
        <w:tblPrEx>
          <w:tblLayout w:type="fixed"/>
          <w:tblCellMar>
            <w:top w:w="15" w:type="dxa"/>
            <w:left w:w="15" w:type="dxa"/>
            <w:bottom w:w="15" w:type="dxa"/>
            <w:right w:w="15" w:type="dxa"/>
          </w:tblCellMar>
        </w:tblPrEx>
        <w:trPr>
          <w:trHeight w:val="465" w:hRule="atLeast"/>
        </w:trPr>
        <w:tc>
          <w:tcPr>
            <w:tcW w:w="122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sz w:val="24"/>
                <w:szCs w:val="24"/>
              </w:rPr>
            </w:pPr>
            <w:r>
              <w:rPr>
                <w:rFonts w:ascii="Times New Roman" w:hAnsi="Times New Roman"/>
                <w:kern w:val="0"/>
                <w:sz w:val="24"/>
                <w:szCs w:val="24"/>
              </w:rPr>
              <w:t>企业名称</w:t>
            </w:r>
          </w:p>
        </w:tc>
        <w:tc>
          <w:tcPr>
            <w:tcW w:w="12758" w:type="dxa"/>
            <w:gridSpan w:val="9"/>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sz w:val="24"/>
                <w:szCs w:val="24"/>
              </w:rPr>
            </w:pPr>
          </w:p>
        </w:tc>
      </w:tr>
      <w:tr>
        <w:tblPrEx>
          <w:tblLayout w:type="fixed"/>
          <w:tblCellMar>
            <w:top w:w="15" w:type="dxa"/>
            <w:left w:w="15" w:type="dxa"/>
            <w:bottom w:w="15" w:type="dxa"/>
            <w:right w:w="15" w:type="dxa"/>
          </w:tblCellMar>
        </w:tblPrEx>
        <w:trPr>
          <w:trHeight w:val="600" w:hRule="atLeast"/>
        </w:trPr>
        <w:tc>
          <w:tcPr>
            <w:tcW w:w="122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sz w:val="24"/>
                <w:szCs w:val="24"/>
              </w:rPr>
            </w:pPr>
            <w:r>
              <w:rPr>
                <w:rFonts w:ascii="Times New Roman" w:hAnsi="Times New Roman"/>
                <w:kern w:val="0"/>
                <w:sz w:val="24"/>
                <w:szCs w:val="24"/>
              </w:rPr>
              <w:t>产品信息</w:t>
            </w:r>
          </w:p>
        </w:tc>
        <w:tc>
          <w:tcPr>
            <w:tcW w:w="140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sz w:val="24"/>
                <w:szCs w:val="24"/>
              </w:rPr>
            </w:pPr>
            <w:r>
              <w:rPr>
                <w:rFonts w:ascii="Times New Roman" w:hAnsi="Times New Roman"/>
                <w:kern w:val="0"/>
                <w:sz w:val="24"/>
                <w:szCs w:val="24"/>
              </w:rPr>
              <w:t>投保产品名称及</w:t>
            </w:r>
            <w:r>
              <w:rPr>
                <w:rFonts w:hint="eastAsia" w:ascii="Times New Roman" w:hAnsi="Times New Roman"/>
                <w:kern w:val="0"/>
                <w:sz w:val="24"/>
                <w:szCs w:val="24"/>
              </w:rPr>
              <w:t>版次</w:t>
            </w:r>
          </w:p>
        </w:tc>
        <w:tc>
          <w:tcPr>
            <w:tcW w:w="3867"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sz w:val="24"/>
                <w:szCs w:val="24"/>
              </w:rPr>
            </w:pPr>
          </w:p>
        </w:tc>
        <w:tc>
          <w:tcPr>
            <w:tcW w:w="159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sz w:val="24"/>
                <w:szCs w:val="24"/>
              </w:rPr>
            </w:pPr>
            <w:r>
              <w:rPr>
                <w:rFonts w:hint="eastAsia" w:ascii="Times New Roman" w:hAnsi="Times New Roman"/>
                <w:kern w:val="0"/>
                <w:sz w:val="24"/>
                <w:szCs w:val="24"/>
              </w:rPr>
              <w:t>首版次</w:t>
            </w:r>
            <w:r>
              <w:rPr>
                <w:rFonts w:ascii="Times New Roman" w:hAnsi="Times New Roman"/>
                <w:kern w:val="0"/>
                <w:sz w:val="24"/>
                <w:szCs w:val="24"/>
              </w:rPr>
              <w:t>产品认定</w:t>
            </w:r>
            <w:r>
              <w:rPr>
                <w:rFonts w:hint="eastAsia" w:ascii="Times New Roman" w:hAnsi="Times New Roman"/>
                <w:kern w:val="0"/>
                <w:sz w:val="24"/>
                <w:szCs w:val="24"/>
              </w:rPr>
              <w:t>批次</w:t>
            </w:r>
          </w:p>
        </w:tc>
        <w:tc>
          <w:tcPr>
            <w:tcW w:w="5885"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sz w:val="24"/>
                <w:szCs w:val="24"/>
              </w:rPr>
            </w:pPr>
          </w:p>
        </w:tc>
      </w:tr>
      <w:tr>
        <w:tblPrEx>
          <w:tblLayout w:type="fixed"/>
          <w:tblCellMar>
            <w:top w:w="15" w:type="dxa"/>
            <w:left w:w="15" w:type="dxa"/>
            <w:bottom w:w="15" w:type="dxa"/>
            <w:right w:w="15" w:type="dxa"/>
          </w:tblCellMar>
        </w:tblPrEx>
        <w:trPr>
          <w:trHeight w:val="455" w:hRule="atLeast"/>
        </w:trPr>
        <w:tc>
          <w:tcPr>
            <w:tcW w:w="122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sz w:val="24"/>
                <w:szCs w:val="24"/>
              </w:rPr>
            </w:pPr>
            <w:r>
              <w:rPr>
                <w:rFonts w:ascii="Times New Roman" w:hAnsi="Times New Roman"/>
                <w:kern w:val="0"/>
                <w:sz w:val="24"/>
                <w:szCs w:val="24"/>
              </w:rPr>
              <w:t>投保险种</w:t>
            </w:r>
          </w:p>
        </w:tc>
        <w:tc>
          <w:tcPr>
            <w:tcW w:w="140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sz w:val="24"/>
                <w:szCs w:val="24"/>
              </w:rPr>
            </w:pPr>
            <w:r>
              <w:rPr>
                <w:rFonts w:ascii="Times New Roman" w:hAnsi="Times New Roman"/>
                <w:kern w:val="0"/>
                <w:sz w:val="24"/>
                <w:szCs w:val="24"/>
              </w:rPr>
              <w:t>险种名称</w:t>
            </w:r>
          </w:p>
        </w:tc>
        <w:tc>
          <w:tcPr>
            <w:tcW w:w="143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sz w:val="24"/>
                <w:szCs w:val="24"/>
              </w:rPr>
            </w:pPr>
          </w:p>
        </w:tc>
        <w:tc>
          <w:tcPr>
            <w:tcW w:w="103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sz w:val="24"/>
                <w:szCs w:val="24"/>
              </w:rPr>
            </w:pPr>
            <w:r>
              <w:rPr>
                <w:rFonts w:ascii="Times New Roman" w:hAnsi="Times New Roman"/>
                <w:kern w:val="0"/>
                <w:sz w:val="24"/>
                <w:szCs w:val="24"/>
              </w:rPr>
              <w:t>保单号</w:t>
            </w:r>
          </w:p>
        </w:tc>
        <w:tc>
          <w:tcPr>
            <w:tcW w:w="139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sz w:val="24"/>
                <w:szCs w:val="24"/>
              </w:rPr>
            </w:pPr>
          </w:p>
        </w:tc>
        <w:tc>
          <w:tcPr>
            <w:tcW w:w="159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sz w:val="24"/>
                <w:szCs w:val="24"/>
              </w:rPr>
            </w:pPr>
            <w:r>
              <w:rPr>
                <w:rFonts w:ascii="Times New Roman" w:hAnsi="Times New Roman"/>
                <w:kern w:val="0"/>
                <w:sz w:val="24"/>
                <w:szCs w:val="24"/>
              </w:rPr>
              <w:t>保险费金额（元）</w:t>
            </w:r>
          </w:p>
        </w:tc>
        <w:tc>
          <w:tcPr>
            <w:tcW w:w="174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sz w:val="24"/>
                <w:szCs w:val="24"/>
              </w:rPr>
            </w:pPr>
          </w:p>
        </w:tc>
        <w:tc>
          <w:tcPr>
            <w:tcW w:w="19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sz w:val="24"/>
                <w:szCs w:val="24"/>
              </w:rPr>
            </w:pPr>
            <w:r>
              <w:rPr>
                <w:rFonts w:ascii="Times New Roman" w:hAnsi="Times New Roman"/>
                <w:kern w:val="0"/>
                <w:sz w:val="24"/>
                <w:szCs w:val="24"/>
              </w:rPr>
              <w:t>保险起止年月日</w:t>
            </w:r>
          </w:p>
        </w:tc>
        <w:tc>
          <w:tcPr>
            <w:tcW w:w="21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sz w:val="24"/>
                <w:szCs w:val="24"/>
              </w:rPr>
            </w:pPr>
          </w:p>
        </w:tc>
      </w:tr>
      <w:tr>
        <w:tblPrEx>
          <w:tblLayout w:type="fixed"/>
          <w:tblCellMar>
            <w:top w:w="15" w:type="dxa"/>
            <w:left w:w="15" w:type="dxa"/>
            <w:bottom w:w="15" w:type="dxa"/>
            <w:right w:w="15" w:type="dxa"/>
          </w:tblCellMar>
        </w:tblPrEx>
        <w:trPr>
          <w:trHeight w:val="470" w:hRule="atLeast"/>
        </w:trPr>
        <w:tc>
          <w:tcPr>
            <w:tcW w:w="122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sz w:val="24"/>
                <w:szCs w:val="24"/>
              </w:rPr>
            </w:pPr>
          </w:p>
        </w:tc>
        <w:tc>
          <w:tcPr>
            <w:tcW w:w="140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sz w:val="24"/>
                <w:szCs w:val="24"/>
              </w:rPr>
            </w:pPr>
            <w:r>
              <w:rPr>
                <w:rFonts w:ascii="Times New Roman" w:hAnsi="Times New Roman"/>
                <w:kern w:val="0"/>
                <w:sz w:val="24"/>
                <w:szCs w:val="24"/>
              </w:rPr>
              <w:t>险种名称</w:t>
            </w:r>
          </w:p>
        </w:tc>
        <w:tc>
          <w:tcPr>
            <w:tcW w:w="143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sz w:val="24"/>
                <w:szCs w:val="24"/>
              </w:rPr>
            </w:pPr>
          </w:p>
        </w:tc>
        <w:tc>
          <w:tcPr>
            <w:tcW w:w="103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sz w:val="24"/>
                <w:szCs w:val="24"/>
              </w:rPr>
            </w:pPr>
            <w:r>
              <w:rPr>
                <w:rFonts w:ascii="Times New Roman" w:hAnsi="Times New Roman"/>
                <w:kern w:val="0"/>
                <w:sz w:val="24"/>
                <w:szCs w:val="24"/>
              </w:rPr>
              <w:t>保单号</w:t>
            </w:r>
          </w:p>
        </w:tc>
        <w:tc>
          <w:tcPr>
            <w:tcW w:w="139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sz w:val="24"/>
                <w:szCs w:val="24"/>
              </w:rPr>
            </w:pPr>
          </w:p>
        </w:tc>
        <w:tc>
          <w:tcPr>
            <w:tcW w:w="159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sz w:val="24"/>
                <w:szCs w:val="24"/>
              </w:rPr>
            </w:pPr>
            <w:r>
              <w:rPr>
                <w:rFonts w:ascii="Times New Roman" w:hAnsi="Times New Roman"/>
                <w:kern w:val="0"/>
                <w:sz w:val="24"/>
                <w:szCs w:val="24"/>
              </w:rPr>
              <w:t>保险费金额（元）</w:t>
            </w:r>
          </w:p>
        </w:tc>
        <w:tc>
          <w:tcPr>
            <w:tcW w:w="174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sz w:val="24"/>
                <w:szCs w:val="24"/>
              </w:rPr>
            </w:pPr>
          </w:p>
        </w:tc>
        <w:tc>
          <w:tcPr>
            <w:tcW w:w="19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sz w:val="24"/>
                <w:szCs w:val="24"/>
              </w:rPr>
            </w:pPr>
            <w:r>
              <w:rPr>
                <w:rFonts w:ascii="Times New Roman" w:hAnsi="Times New Roman"/>
                <w:kern w:val="0"/>
                <w:sz w:val="24"/>
                <w:szCs w:val="24"/>
              </w:rPr>
              <w:t>保险起止年月日</w:t>
            </w:r>
          </w:p>
        </w:tc>
        <w:tc>
          <w:tcPr>
            <w:tcW w:w="21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sz w:val="24"/>
                <w:szCs w:val="24"/>
              </w:rPr>
            </w:pPr>
          </w:p>
        </w:tc>
      </w:tr>
      <w:tr>
        <w:tblPrEx>
          <w:tblLayout w:type="fixed"/>
          <w:tblCellMar>
            <w:top w:w="15" w:type="dxa"/>
            <w:left w:w="15" w:type="dxa"/>
            <w:bottom w:w="15" w:type="dxa"/>
            <w:right w:w="15" w:type="dxa"/>
          </w:tblCellMar>
        </w:tblPrEx>
        <w:trPr>
          <w:trHeight w:val="440" w:hRule="atLeast"/>
        </w:trPr>
        <w:tc>
          <w:tcPr>
            <w:tcW w:w="122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sz w:val="24"/>
                <w:szCs w:val="24"/>
              </w:rPr>
            </w:pPr>
          </w:p>
        </w:tc>
        <w:tc>
          <w:tcPr>
            <w:tcW w:w="140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sz w:val="24"/>
                <w:szCs w:val="24"/>
              </w:rPr>
            </w:pPr>
            <w:r>
              <w:rPr>
                <w:rFonts w:ascii="Times New Roman" w:hAnsi="Times New Roman"/>
                <w:kern w:val="0"/>
                <w:sz w:val="24"/>
                <w:szCs w:val="24"/>
              </w:rPr>
              <w:t>险种名称</w:t>
            </w:r>
          </w:p>
        </w:tc>
        <w:tc>
          <w:tcPr>
            <w:tcW w:w="143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sz w:val="24"/>
                <w:szCs w:val="24"/>
              </w:rPr>
            </w:pPr>
          </w:p>
        </w:tc>
        <w:tc>
          <w:tcPr>
            <w:tcW w:w="103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sz w:val="24"/>
                <w:szCs w:val="24"/>
              </w:rPr>
            </w:pPr>
            <w:r>
              <w:rPr>
                <w:rFonts w:ascii="Times New Roman" w:hAnsi="Times New Roman"/>
                <w:kern w:val="0"/>
                <w:sz w:val="24"/>
                <w:szCs w:val="24"/>
              </w:rPr>
              <w:t>保单号</w:t>
            </w:r>
          </w:p>
        </w:tc>
        <w:tc>
          <w:tcPr>
            <w:tcW w:w="139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sz w:val="24"/>
                <w:szCs w:val="24"/>
              </w:rPr>
            </w:pPr>
          </w:p>
        </w:tc>
        <w:tc>
          <w:tcPr>
            <w:tcW w:w="159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sz w:val="24"/>
                <w:szCs w:val="24"/>
              </w:rPr>
            </w:pPr>
            <w:r>
              <w:rPr>
                <w:rFonts w:ascii="Times New Roman" w:hAnsi="Times New Roman"/>
                <w:kern w:val="0"/>
                <w:sz w:val="24"/>
                <w:szCs w:val="24"/>
              </w:rPr>
              <w:t>保险费金额（元）</w:t>
            </w:r>
          </w:p>
        </w:tc>
        <w:tc>
          <w:tcPr>
            <w:tcW w:w="174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sz w:val="24"/>
                <w:szCs w:val="24"/>
              </w:rPr>
            </w:pPr>
          </w:p>
        </w:tc>
        <w:tc>
          <w:tcPr>
            <w:tcW w:w="19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sz w:val="24"/>
                <w:szCs w:val="24"/>
              </w:rPr>
            </w:pPr>
            <w:r>
              <w:rPr>
                <w:rFonts w:ascii="Times New Roman" w:hAnsi="Times New Roman"/>
                <w:kern w:val="0"/>
                <w:sz w:val="24"/>
                <w:szCs w:val="24"/>
              </w:rPr>
              <w:t>保险起止年月日</w:t>
            </w:r>
          </w:p>
        </w:tc>
        <w:tc>
          <w:tcPr>
            <w:tcW w:w="21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sz w:val="24"/>
                <w:szCs w:val="24"/>
              </w:rPr>
            </w:pPr>
          </w:p>
        </w:tc>
      </w:tr>
      <w:tr>
        <w:tblPrEx>
          <w:tblLayout w:type="fixed"/>
          <w:tblCellMar>
            <w:top w:w="15" w:type="dxa"/>
            <w:left w:w="15" w:type="dxa"/>
            <w:bottom w:w="15" w:type="dxa"/>
            <w:right w:w="15" w:type="dxa"/>
          </w:tblCellMar>
        </w:tblPrEx>
        <w:trPr>
          <w:trHeight w:val="395" w:hRule="atLeast"/>
        </w:trPr>
        <w:tc>
          <w:tcPr>
            <w:tcW w:w="122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sz w:val="24"/>
                <w:szCs w:val="24"/>
              </w:rPr>
            </w:pPr>
          </w:p>
        </w:tc>
        <w:tc>
          <w:tcPr>
            <w:tcW w:w="140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sz w:val="24"/>
                <w:szCs w:val="24"/>
              </w:rPr>
            </w:pPr>
            <w:r>
              <w:rPr>
                <w:rFonts w:ascii="Times New Roman" w:hAnsi="Times New Roman"/>
                <w:kern w:val="0"/>
                <w:sz w:val="24"/>
                <w:szCs w:val="24"/>
              </w:rPr>
              <w:t>......</w:t>
            </w:r>
          </w:p>
        </w:tc>
        <w:tc>
          <w:tcPr>
            <w:tcW w:w="143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sz w:val="24"/>
                <w:szCs w:val="24"/>
              </w:rPr>
            </w:pPr>
          </w:p>
        </w:tc>
        <w:tc>
          <w:tcPr>
            <w:tcW w:w="103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sz w:val="24"/>
                <w:szCs w:val="24"/>
              </w:rPr>
            </w:pPr>
            <w:r>
              <w:rPr>
                <w:rFonts w:ascii="Times New Roman" w:hAnsi="Times New Roman"/>
                <w:kern w:val="0"/>
                <w:sz w:val="24"/>
                <w:szCs w:val="24"/>
              </w:rPr>
              <w:t>......</w:t>
            </w:r>
          </w:p>
        </w:tc>
        <w:tc>
          <w:tcPr>
            <w:tcW w:w="139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sz w:val="24"/>
                <w:szCs w:val="24"/>
              </w:rPr>
            </w:pPr>
          </w:p>
        </w:tc>
        <w:tc>
          <w:tcPr>
            <w:tcW w:w="159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sz w:val="24"/>
                <w:szCs w:val="24"/>
              </w:rPr>
            </w:pPr>
            <w:r>
              <w:rPr>
                <w:rFonts w:ascii="Times New Roman" w:hAnsi="Times New Roman"/>
                <w:kern w:val="0"/>
                <w:sz w:val="24"/>
                <w:szCs w:val="24"/>
              </w:rPr>
              <w:t>......</w:t>
            </w:r>
          </w:p>
        </w:tc>
        <w:tc>
          <w:tcPr>
            <w:tcW w:w="1745" w:type="dxa"/>
            <w:gridSpan w:val="2"/>
            <w:tcBorders>
              <w:top w:val="single" w:color="000000" w:sz="4" w:space="0"/>
              <w:left w:val="single" w:color="000000" w:sz="4" w:space="0"/>
              <w:bottom w:val="single" w:color="000000" w:sz="4" w:space="0"/>
            </w:tcBorders>
            <w:vAlign w:val="center"/>
          </w:tcPr>
          <w:p>
            <w:pPr>
              <w:widowControl/>
              <w:spacing w:line="240" w:lineRule="exact"/>
              <w:jc w:val="center"/>
              <w:rPr>
                <w:rFonts w:ascii="Times New Roman" w:hAnsi="Times New Roman"/>
                <w:sz w:val="24"/>
                <w:szCs w:val="24"/>
              </w:rPr>
            </w:pPr>
          </w:p>
        </w:tc>
        <w:tc>
          <w:tcPr>
            <w:tcW w:w="19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sz w:val="24"/>
                <w:szCs w:val="24"/>
              </w:rPr>
            </w:pPr>
            <w:r>
              <w:rPr>
                <w:rFonts w:ascii="Times New Roman" w:hAnsi="Times New Roman"/>
                <w:kern w:val="0"/>
                <w:sz w:val="24"/>
                <w:szCs w:val="24"/>
              </w:rPr>
              <w:t>......</w:t>
            </w:r>
          </w:p>
        </w:tc>
        <w:tc>
          <w:tcPr>
            <w:tcW w:w="2164" w:type="dxa"/>
            <w:tcBorders>
              <w:top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sz w:val="24"/>
                <w:szCs w:val="24"/>
              </w:rPr>
            </w:pPr>
          </w:p>
        </w:tc>
      </w:tr>
      <w:tr>
        <w:tblPrEx>
          <w:tblLayout w:type="fixed"/>
          <w:tblCellMar>
            <w:top w:w="15" w:type="dxa"/>
            <w:left w:w="15" w:type="dxa"/>
            <w:bottom w:w="15" w:type="dxa"/>
            <w:right w:w="15" w:type="dxa"/>
          </w:tblCellMar>
        </w:tblPrEx>
        <w:trPr>
          <w:trHeight w:val="600" w:hRule="atLeast"/>
        </w:trPr>
        <w:tc>
          <w:tcPr>
            <w:tcW w:w="1222" w:type="dxa"/>
            <w:tcBorders>
              <w:top w:val="single" w:color="000000" w:sz="4" w:space="0"/>
              <w:left w:val="single" w:color="000000" w:sz="4" w:space="0"/>
              <w:bottom w:val="single" w:color="000000" w:sz="4" w:space="0"/>
              <w:right w:val="single" w:color="000000" w:sz="4" w:space="0"/>
            </w:tcBorders>
          </w:tcPr>
          <w:p>
            <w:pPr>
              <w:widowControl/>
              <w:spacing w:line="240" w:lineRule="exact"/>
              <w:jc w:val="center"/>
              <w:textAlignment w:val="top"/>
              <w:rPr>
                <w:rFonts w:ascii="Times New Roman" w:hAnsi="Times New Roman"/>
                <w:sz w:val="24"/>
                <w:szCs w:val="24"/>
              </w:rPr>
            </w:pPr>
            <w:r>
              <w:rPr>
                <w:rFonts w:ascii="Times New Roman" w:hAnsi="Times New Roman"/>
                <w:kern w:val="0"/>
                <w:sz w:val="24"/>
                <w:szCs w:val="24"/>
              </w:rPr>
              <w:t>已缴纳保险费金额（元）</w:t>
            </w:r>
          </w:p>
        </w:tc>
        <w:tc>
          <w:tcPr>
            <w:tcW w:w="5274"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sz w:val="24"/>
                <w:szCs w:val="24"/>
              </w:rPr>
            </w:pPr>
          </w:p>
        </w:tc>
        <w:tc>
          <w:tcPr>
            <w:tcW w:w="159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sz w:val="24"/>
                <w:szCs w:val="24"/>
              </w:rPr>
            </w:pPr>
            <w:r>
              <w:rPr>
                <w:rFonts w:ascii="Times New Roman" w:hAnsi="Times New Roman"/>
                <w:kern w:val="0"/>
                <w:sz w:val="24"/>
                <w:szCs w:val="24"/>
              </w:rPr>
              <w:t>合计申请保险费补贴金额（元）</w:t>
            </w:r>
          </w:p>
        </w:tc>
        <w:tc>
          <w:tcPr>
            <w:tcW w:w="5885"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sz w:val="24"/>
                <w:szCs w:val="24"/>
              </w:rPr>
            </w:pPr>
          </w:p>
        </w:tc>
      </w:tr>
      <w:tr>
        <w:tblPrEx>
          <w:tblLayout w:type="fixed"/>
          <w:tblCellMar>
            <w:top w:w="15" w:type="dxa"/>
            <w:left w:w="15" w:type="dxa"/>
            <w:bottom w:w="15" w:type="dxa"/>
            <w:right w:w="15" w:type="dxa"/>
          </w:tblCellMar>
        </w:tblPrEx>
        <w:trPr>
          <w:trHeight w:val="1030" w:hRule="atLeast"/>
        </w:trPr>
        <w:tc>
          <w:tcPr>
            <w:tcW w:w="122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sz w:val="24"/>
                <w:szCs w:val="24"/>
              </w:rPr>
            </w:pPr>
            <w:r>
              <w:rPr>
                <w:rFonts w:hint="eastAsia" w:ascii="Times New Roman" w:hAnsi="Times New Roman"/>
                <w:sz w:val="24"/>
                <w:szCs w:val="24"/>
              </w:rPr>
              <w:t>申报单位</w:t>
            </w:r>
          </w:p>
        </w:tc>
        <w:tc>
          <w:tcPr>
            <w:tcW w:w="12758" w:type="dxa"/>
            <w:gridSpan w:val="9"/>
            <w:tcBorders>
              <w:top w:val="single" w:color="000000" w:sz="4" w:space="0"/>
              <w:left w:val="single" w:color="000000" w:sz="4" w:space="0"/>
              <w:right w:val="single" w:color="000000" w:sz="4" w:space="0"/>
            </w:tcBorders>
            <w:vAlign w:val="center"/>
          </w:tcPr>
          <w:p>
            <w:pPr>
              <w:widowControl/>
              <w:spacing w:line="240" w:lineRule="exact"/>
              <w:jc w:val="left"/>
              <w:textAlignment w:val="center"/>
              <w:rPr>
                <w:rFonts w:ascii="Times New Roman" w:hAnsi="Times New Roman"/>
                <w:sz w:val="24"/>
                <w:szCs w:val="24"/>
              </w:rPr>
            </w:pPr>
            <w:r>
              <w:rPr>
                <w:rFonts w:ascii="Times New Roman" w:hAnsi="Times New Roman"/>
                <w:kern w:val="0"/>
                <w:sz w:val="24"/>
                <w:szCs w:val="24"/>
              </w:rPr>
              <w:t xml:space="preserve">企业法人（签名）：                        </w:t>
            </w:r>
          </w:p>
          <w:p>
            <w:pPr>
              <w:widowControl/>
              <w:spacing w:line="240" w:lineRule="exact"/>
              <w:jc w:val="center"/>
              <w:textAlignment w:val="center"/>
              <w:rPr>
                <w:rFonts w:ascii="Times New Roman" w:hAnsi="Times New Roman"/>
                <w:kern w:val="0"/>
                <w:sz w:val="24"/>
                <w:szCs w:val="24"/>
              </w:rPr>
            </w:pPr>
            <w:r>
              <w:rPr>
                <w:rFonts w:hint="eastAsia" w:ascii="Times New Roman" w:hAnsi="Times New Roman"/>
                <w:kern w:val="0"/>
                <w:sz w:val="24"/>
                <w:szCs w:val="24"/>
              </w:rPr>
              <w:t xml:space="preserve">                  </w:t>
            </w:r>
            <w:r>
              <w:rPr>
                <w:rFonts w:ascii="Times New Roman" w:hAnsi="Times New Roman"/>
                <w:kern w:val="0"/>
                <w:sz w:val="24"/>
                <w:szCs w:val="24"/>
              </w:rPr>
              <w:t>（</w:t>
            </w:r>
            <w:r>
              <w:rPr>
                <w:rFonts w:hint="eastAsia" w:ascii="Times New Roman" w:hAnsi="Times New Roman"/>
                <w:kern w:val="0"/>
                <w:sz w:val="24"/>
                <w:szCs w:val="24"/>
              </w:rPr>
              <w:t>企业</w:t>
            </w:r>
            <w:r>
              <w:rPr>
                <w:rFonts w:ascii="Times New Roman" w:hAnsi="Times New Roman"/>
                <w:kern w:val="0"/>
                <w:sz w:val="24"/>
                <w:szCs w:val="24"/>
              </w:rPr>
              <w:t>公章）</w:t>
            </w:r>
          </w:p>
          <w:p>
            <w:pPr>
              <w:spacing w:line="240" w:lineRule="exact"/>
              <w:jc w:val="center"/>
              <w:textAlignment w:val="center"/>
              <w:rPr>
                <w:rFonts w:ascii="Times New Roman" w:hAnsi="Times New Roman"/>
                <w:sz w:val="24"/>
                <w:szCs w:val="24"/>
              </w:rPr>
            </w:pPr>
            <w:r>
              <w:rPr>
                <w:rFonts w:hint="eastAsia" w:ascii="Times New Roman" w:hAnsi="Times New Roman"/>
                <w:kern w:val="0"/>
                <w:sz w:val="24"/>
                <w:szCs w:val="24"/>
              </w:rPr>
              <w:t xml:space="preserve">                 </w:t>
            </w:r>
            <w:r>
              <w:rPr>
                <w:rFonts w:ascii="Times New Roman" w:hAnsi="Times New Roman"/>
                <w:kern w:val="0"/>
                <w:sz w:val="24"/>
                <w:szCs w:val="24"/>
              </w:rPr>
              <w:t>年   月   日</w:t>
            </w:r>
          </w:p>
        </w:tc>
      </w:tr>
      <w:tr>
        <w:tblPrEx>
          <w:tblLayout w:type="fixed"/>
          <w:tblCellMar>
            <w:top w:w="15" w:type="dxa"/>
            <w:left w:w="15" w:type="dxa"/>
            <w:bottom w:w="15" w:type="dxa"/>
            <w:right w:w="15" w:type="dxa"/>
          </w:tblCellMar>
        </w:tblPrEx>
        <w:trPr>
          <w:trHeight w:val="1221" w:hRule="atLeast"/>
        </w:trPr>
        <w:tc>
          <w:tcPr>
            <w:tcW w:w="122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sz w:val="24"/>
                <w:szCs w:val="24"/>
              </w:rPr>
            </w:pPr>
            <w:r>
              <w:rPr>
                <w:rFonts w:hint="eastAsia" w:ascii="Times New Roman" w:hAnsi="Times New Roman"/>
                <w:sz w:val="24"/>
                <w:szCs w:val="24"/>
              </w:rPr>
              <w:t>审核单位</w:t>
            </w:r>
          </w:p>
        </w:tc>
        <w:tc>
          <w:tcPr>
            <w:tcW w:w="12758" w:type="dxa"/>
            <w:gridSpan w:val="9"/>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Times New Roman" w:hAnsi="Times New Roman"/>
                <w:sz w:val="24"/>
                <w:szCs w:val="24"/>
              </w:rPr>
            </w:pPr>
            <w:r>
              <w:rPr>
                <w:rFonts w:hint="eastAsia" w:ascii="Times New Roman" w:hAnsi="Times New Roman"/>
                <w:sz w:val="24"/>
                <w:szCs w:val="24"/>
              </w:rPr>
              <w:t>市工信部门审查意见</w:t>
            </w:r>
          </w:p>
          <w:p>
            <w:pPr>
              <w:spacing w:line="480" w:lineRule="exact"/>
              <w:rPr>
                <w:rFonts w:ascii="Times New Roman" w:hAnsi="Times New Roman"/>
                <w:sz w:val="24"/>
                <w:szCs w:val="24"/>
              </w:rPr>
            </w:pPr>
            <w:r>
              <w:rPr>
                <w:rFonts w:hint="eastAsia" w:ascii="Times New Roman" w:hAnsi="Times New Roman"/>
                <w:sz w:val="24"/>
                <w:szCs w:val="24"/>
              </w:rPr>
              <w:t xml:space="preserve">                                                           </w:t>
            </w:r>
            <w:r>
              <w:rPr>
                <w:rFonts w:ascii="Times New Roman" w:hAnsi="Times New Roman"/>
                <w:sz w:val="24"/>
                <w:szCs w:val="24"/>
              </w:rPr>
              <w:t>（盖章）</w:t>
            </w:r>
          </w:p>
          <w:p>
            <w:pPr>
              <w:widowControl/>
              <w:spacing w:line="240" w:lineRule="exact"/>
              <w:jc w:val="center"/>
              <w:textAlignment w:val="center"/>
              <w:rPr>
                <w:rFonts w:ascii="Times New Roman" w:hAnsi="Times New Roman"/>
                <w:kern w:val="0"/>
                <w:sz w:val="24"/>
                <w:szCs w:val="24"/>
              </w:rPr>
            </w:pPr>
            <w:r>
              <w:rPr>
                <w:rFonts w:hint="eastAsia"/>
                <w:sz w:val="24"/>
                <w:szCs w:val="24"/>
              </w:rPr>
              <w:t xml:space="preserve">                    </w:t>
            </w:r>
            <w:r>
              <w:rPr>
                <w:rFonts w:ascii="Times New Roman" w:hAnsi="Times New Roman"/>
                <w:sz w:val="24"/>
                <w:szCs w:val="24"/>
              </w:rPr>
              <w:t>年    月    日</w:t>
            </w:r>
          </w:p>
        </w:tc>
      </w:tr>
    </w:tbl>
    <w:p>
      <w:pPr>
        <w:widowControl/>
        <w:ind w:firstLine="560"/>
        <w:jc w:val="left"/>
        <w:rPr>
          <w:rFonts w:ascii="仿宋_GB2312" w:hAnsi="Times New Roman" w:eastAsia="仿宋_GB2312"/>
          <w:bCs/>
          <w:szCs w:val="21"/>
        </w:rPr>
        <w:sectPr>
          <w:pgSz w:w="16838" w:h="11906" w:orient="landscape"/>
          <w:pgMar w:top="1800" w:right="1440" w:bottom="1800" w:left="1440" w:header="851" w:footer="992" w:gutter="0"/>
          <w:cols w:space="425" w:num="1"/>
          <w:docGrid w:type="lines" w:linePitch="312" w:charSpace="0"/>
        </w:sectPr>
      </w:pPr>
      <w:r>
        <w:rPr>
          <w:rFonts w:hint="eastAsia" w:ascii="仿宋_GB2312" w:hAnsi="Times New Roman" w:eastAsia="仿宋_GB2312"/>
          <w:bCs/>
          <w:szCs w:val="21"/>
        </w:rPr>
        <w:t>注：投保产品名称及版次应与省首版次高端软件认定名单内一致。</w:t>
      </w:r>
    </w:p>
    <w:p>
      <w:pPr>
        <w:adjustRightInd w:val="0"/>
        <w:snapToGrid w:val="0"/>
        <w:spacing w:line="360" w:lineRule="auto"/>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申报材料真实性承诺书</w:t>
      </w:r>
    </w:p>
    <w:p>
      <w:pPr>
        <w:adjustRightInd w:val="0"/>
        <w:snapToGrid w:val="0"/>
        <w:spacing w:line="360" w:lineRule="auto"/>
        <w:ind w:firstLine="640"/>
        <w:rPr>
          <w:rFonts w:ascii="仿宋_GB2312" w:hAnsi="Times New Roman" w:eastAsia="仿宋_GB2312"/>
          <w:sz w:val="32"/>
          <w:szCs w:val="32"/>
        </w:rPr>
      </w:pPr>
    </w:p>
    <w:p>
      <w:pPr>
        <w:adjustRightInd w:val="0"/>
        <w:snapToGrid w:val="0"/>
        <w:spacing w:line="360" w:lineRule="auto"/>
        <w:rPr>
          <w:rFonts w:ascii="仿宋_GB2312" w:hAnsi="Times New Roman" w:eastAsia="仿宋_GB2312"/>
          <w:sz w:val="32"/>
          <w:szCs w:val="32"/>
        </w:rPr>
      </w:pPr>
      <w:r>
        <w:rPr>
          <w:rFonts w:hint="eastAsia" w:ascii="仿宋_GB2312" w:hAnsi="Times New Roman" w:eastAsia="仿宋_GB2312"/>
          <w:sz w:val="32"/>
          <w:szCs w:val="32"/>
        </w:rPr>
        <w:t>省工业和信息化厅、山东银保监局：</w:t>
      </w:r>
    </w:p>
    <w:p>
      <w:pPr>
        <w:adjustRightInd w:val="0"/>
        <w:snapToGrid w:val="0"/>
        <w:spacing w:line="360" w:lineRule="auto"/>
        <w:ind w:firstLine="640"/>
        <w:rPr>
          <w:rFonts w:ascii="仿宋_GB2312" w:hAnsi="Times New Roman" w:eastAsia="仿宋_GB2312"/>
          <w:sz w:val="32"/>
          <w:szCs w:val="32"/>
        </w:rPr>
      </w:pPr>
      <w:r>
        <w:rPr>
          <w:rFonts w:hint="eastAsia" w:ascii="仿宋_GB2312" w:hAnsi="Times New Roman" w:eastAsia="仿宋_GB2312"/>
          <w:sz w:val="32"/>
          <w:szCs w:val="32"/>
        </w:rPr>
        <w:t>我单位申报的“                     ”申请材料内容和所附资料均真实、合法，如有不实之处，愿负相应的法律责任，并承担由此产生的一切后果。</w:t>
      </w:r>
    </w:p>
    <w:p>
      <w:pPr>
        <w:adjustRightInd w:val="0"/>
        <w:snapToGrid w:val="0"/>
        <w:spacing w:line="360" w:lineRule="auto"/>
        <w:ind w:firstLine="640"/>
        <w:rPr>
          <w:rFonts w:ascii="仿宋_GB2312" w:hAnsi="Times New Roman" w:eastAsia="仿宋_GB2312"/>
          <w:sz w:val="32"/>
          <w:szCs w:val="32"/>
        </w:rPr>
      </w:pPr>
      <w:r>
        <w:rPr>
          <w:rFonts w:hint="eastAsia" w:ascii="仿宋_GB2312" w:hAnsi="Times New Roman" w:eastAsia="仿宋_GB2312"/>
          <w:sz w:val="32"/>
          <w:szCs w:val="32"/>
        </w:rPr>
        <w:t>特此声明！</w:t>
      </w:r>
    </w:p>
    <w:p>
      <w:pPr>
        <w:adjustRightInd w:val="0"/>
        <w:snapToGrid w:val="0"/>
        <w:spacing w:line="360" w:lineRule="auto"/>
        <w:ind w:firstLine="640"/>
        <w:rPr>
          <w:rFonts w:ascii="仿宋_GB2312" w:hAnsi="Times New Roman" w:eastAsia="仿宋_GB2312"/>
          <w:sz w:val="32"/>
          <w:szCs w:val="32"/>
        </w:rPr>
      </w:pPr>
      <w:r>
        <w:rPr>
          <w:rFonts w:hint="eastAsia" w:ascii="仿宋_GB2312" w:hAnsi="Times New Roman" w:eastAsia="仿宋_GB2312"/>
          <w:sz w:val="32"/>
          <w:szCs w:val="32"/>
        </w:rPr>
        <w:t>　　　  　</w:t>
      </w:r>
    </w:p>
    <w:p>
      <w:pPr>
        <w:adjustRightInd w:val="0"/>
        <w:snapToGrid w:val="0"/>
        <w:spacing w:line="360" w:lineRule="auto"/>
        <w:ind w:firstLine="640"/>
        <w:rPr>
          <w:rFonts w:ascii="仿宋_GB2312" w:hAnsi="Times New Roman" w:eastAsia="仿宋_GB2312"/>
          <w:sz w:val="32"/>
          <w:szCs w:val="32"/>
        </w:rPr>
      </w:pPr>
    </w:p>
    <w:p>
      <w:pPr>
        <w:adjustRightInd w:val="0"/>
        <w:snapToGrid w:val="0"/>
        <w:spacing w:line="360" w:lineRule="auto"/>
        <w:ind w:firstLine="640"/>
        <w:rPr>
          <w:rFonts w:ascii="仿宋_GB2312" w:hAnsi="Times New Roman" w:eastAsia="仿宋_GB2312"/>
          <w:sz w:val="32"/>
          <w:szCs w:val="32"/>
        </w:rPr>
      </w:pPr>
    </w:p>
    <w:p>
      <w:pPr>
        <w:adjustRightInd w:val="0"/>
        <w:snapToGrid w:val="0"/>
        <w:spacing w:line="360" w:lineRule="auto"/>
        <w:ind w:firstLine="640"/>
        <w:rPr>
          <w:rFonts w:ascii="仿宋_GB2312" w:hAnsi="Times New Roman" w:eastAsia="仿宋_GB2312"/>
          <w:sz w:val="32"/>
          <w:szCs w:val="32"/>
        </w:rPr>
      </w:pPr>
      <w:r>
        <w:rPr>
          <w:rFonts w:hint="eastAsia" w:ascii="仿宋_GB2312" w:hAnsi="Times New Roman" w:eastAsia="仿宋_GB2312"/>
          <w:sz w:val="32"/>
          <w:szCs w:val="32"/>
        </w:rPr>
        <w:t>单位（盖章）           单位法定代表人（签字）</w:t>
      </w:r>
    </w:p>
    <w:p>
      <w:pPr>
        <w:adjustRightInd w:val="0"/>
        <w:snapToGrid w:val="0"/>
        <w:spacing w:line="360" w:lineRule="auto"/>
        <w:ind w:firstLine="640"/>
        <w:rPr>
          <w:rFonts w:ascii="仿宋_GB2312" w:hAnsi="Times New Roman" w:eastAsia="仿宋_GB2312"/>
          <w:sz w:val="32"/>
          <w:szCs w:val="32"/>
        </w:rPr>
      </w:pPr>
    </w:p>
    <w:p>
      <w:pPr>
        <w:pStyle w:val="18"/>
        <w:adjustRightInd w:val="0"/>
        <w:spacing w:line="360" w:lineRule="auto"/>
        <w:ind w:right="62" w:firstLine="0" w:firstLineChars="0"/>
        <w:jc w:val="left"/>
        <w:rPr>
          <w:rFonts w:hAnsi="Times New Roman"/>
          <w:szCs w:val="32"/>
        </w:rPr>
      </w:pPr>
      <w:r>
        <w:rPr>
          <w:rFonts w:hint="eastAsia" w:hAnsi="Times New Roman"/>
          <w:szCs w:val="32"/>
        </w:rPr>
        <w:t>　　　　　　                      年    月   日</w:t>
      </w:r>
    </w:p>
    <w:sectPr>
      <w:footerReference r:id="rId7" w:type="default"/>
      <w:pgSz w:w="11907" w:h="16840"/>
      <w:pgMar w:top="1417" w:right="1644" w:bottom="1417" w:left="1644" w:header="851" w:footer="136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pict>
        <v:shape id="_x0000_s10242" o:spid="_x0000_s10242"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joinstyle="miter"/>
          <v:imagedata o:title=""/>
          <o:lock v:ext="edit"/>
          <v:textbox inset="0mm,0mm,0mm,0mm" style="mso-fit-shape-to-text:t;">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32"/>
                  </w:rPr>
                  <w:t>2</w:t>
                </w:r>
                <w:r>
                  <w:rPr>
                    <w:rFonts w:hint="eastAsia"/>
                    <w:sz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ind w:firstLine="360"/>
      <w:rPr>
        <w:rStyle w:val="11"/>
      </w:rPr>
    </w:pPr>
    <w:r>
      <w:fldChar w:fldCharType="begin"/>
    </w:r>
    <w:r>
      <w:rPr>
        <w:rStyle w:val="11"/>
      </w:rPr>
      <w:instrText xml:space="preserve">PAGE  </w:instrText>
    </w:r>
    <w:r>
      <w:fldChar w:fldCharType="separate"/>
    </w:r>
    <w:r>
      <w:rPr>
        <w:rStyle w:val="11"/>
      </w:rPr>
      <w:t>28</w:t>
    </w:r>
    <w: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jc w:val="center"/>
    </w:pPr>
    <w:r>
      <w:rPr>
        <w:rFonts w:hint="eastAsia"/>
        <w:kern w:val="0"/>
      </w:rPr>
      <w:t>－</w:t>
    </w:r>
    <w:r>
      <w:fldChar w:fldCharType="begin"/>
    </w:r>
    <w:r>
      <w:rPr>
        <w:rStyle w:val="11"/>
      </w:rPr>
      <w:instrText xml:space="preserve"> PAGE </w:instrText>
    </w:r>
    <w:r>
      <w:fldChar w:fldCharType="separate"/>
    </w:r>
    <w:r>
      <w:rPr>
        <w:rStyle w:val="11"/>
      </w:rPr>
      <w:t>28</w:t>
    </w:r>
    <w:r>
      <w:fldChar w:fldCharType="end"/>
    </w:r>
    <w:r>
      <w:rPr>
        <w:rFonts w:hint="eastAsia"/>
        <w:kern w:val="0"/>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w:pict>
        <v:shape id="_x0000_s10244" o:spid="_x0000_s10244"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sdt>
                <w:sdtPr>
                  <w:id w:val="12640559"/>
                </w:sdtPr>
                <w:sdtContent>
                  <w:p>
                    <w:pPr>
                      <w:pStyle w:val="5"/>
                      <w:jc w:val="center"/>
                    </w:pPr>
                    <w:r>
                      <w:fldChar w:fldCharType="begin"/>
                    </w:r>
                    <w:r>
                      <w:instrText xml:space="preserve">PAGE   \* MERGEFORMAT</w:instrText>
                    </w:r>
                    <w:r>
                      <w:fldChar w:fldCharType="separate"/>
                    </w:r>
                    <w:r>
                      <w:rPr>
                        <w:lang w:val="zh-CN"/>
                      </w:rPr>
                      <w:t>9</w:t>
                    </w:r>
                    <w:r>
                      <w:fldChar w:fldCharType="end"/>
                    </w:r>
                  </w:p>
                </w:sdtContent>
              </w:sdt>
              <w:p>
                <w:pPr>
                  <w:pStyle w:val="2"/>
                </w:pPr>
              </w:p>
            </w:txbxContent>
          </v:textbox>
        </v:shape>
      </w:pict>
    </w:r>
  </w:p>
  <w:p>
    <w:pPr>
      <w:pStyle w:val="5"/>
    </w:pP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pict>
        <v:shape id="_x0000_s10243" o:spid="_x0000_s10243"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path/>
          <v:fill on="f" focussize="0,0"/>
          <v:stroke on="f" weight="0.5pt" joinstyle="miter"/>
          <v:imagedata o:title=""/>
          <o:lock v:ext="edit"/>
          <v:textbox inset="0mm,0mm,0mm,0mm" style="mso-fit-shape-to-text:t;">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32"/>
                  </w:rPr>
                  <w:t>10</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10"/>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148A9"/>
    <w:rsid w:val="0000234F"/>
    <w:rsid w:val="000075E6"/>
    <w:rsid w:val="00013EA1"/>
    <w:rsid w:val="000143B4"/>
    <w:rsid w:val="0001660B"/>
    <w:rsid w:val="0002331E"/>
    <w:rsid w:val="0002676D"/>
    <w:rsid w:val="00027141"/>
    <w:rsid w:val="0003120D"/>
    <w:rsid w:val="00033AC9"/>
    <w:rsid w:val="00034B85"/>
    <w:rsid w:val="0005001F"/>
    <w:rsid w:val="000719B0"/>
    <w:rsid w:val="00071B29"/>
    <w:rsid w:val="000802DB"/>
    <w:rsid w:val="00080F61"/>
    <w:rsid w:val="00081EB4"/>
    <w:rsid w:val="000917D6"/>
    <w:rsid w:val="00093231"/>
    <w:rsid w:val="00097C66"/>
    <w:rsid w:val="000A2D8C"/>
    <w:rsid w:val="000A4857"/>
    <w:rsid w:val="000A4F74"/>
    <w:rsid w:val="000A6250"/>
    <w:rsid w:val="000B3220"/>
    <w:rsid w:val="000B33AC"/>
    <w:rsid w:val="000B7DC9"/>
    <w:rsid w:val="000C4712"/>
    <w:rsid w:val="000C57D9"/>
    <w:rsid w:val="000D7E0A"/>
    <w:rsid w:val="000F1ECE"/>
    <w:rsid w:val="000F4A79"/>
    <w:rsid w:val="000F525D"/>
    <w:rsid w:val="000F5500"/>
    <w:rsid w:val="000F5FA2"/>
    <w:rsid w:val="00113F7C"/>
    <w:rsid w:val="00116255"/>
    <w:rsid w:val="00124902"/>
    <w:rsid w:val="00127CBD"/>
    <w:rsid w:val="001319FA"/>
    <w:rsid w:val="00132BEF"/>
    <w:rsid w:val="0013503D"/>
    <w:rsid w:val="00136F78"/>
    <w:rsid w:val="00137305"/>
    <w:rsid w:val="001379D7"/>
    <w:rsid w:val="00150DB9"/>
    <w:rsid w:val="001543F4"/>
    <w:rsid w:val="00154637"/>
    <w:rsid w:val="00165EEC"/>
    <w:rsid w:val="00173ACE"/>
    <w:rsid w:val="00175476"/>
    <w:rsid w:val="00175D8A"/>
    <w:rsid w:val="001840D5"/>
    <w:rsid w:val="00193FC1"/>
    <w:rsid w:val="0019411E"/>
    <w:rsid w:val="001974FB"/>
    <w:rsid w:val="001A157B"/>
    <w:rsid w:val="001A74BC"/>
    <w:rsid w:val="001A7752"/>
    <w:rsid w:val="001B1BE7"/>
    <w:rsid w:val="001B50EF"/>
    <w:rsid w:val="001C13BF"/>
    <w:rsid w:val="001C1CB0"/>
    <w:rsid w:val="001C33C4"/>
    <w:rsid w:val="001C4FA9"/>
    <w:rsid w:val="001D77DB"/>
    <w:rsid w:val="001E6893"/>
    <w:rsid w:val="001F19EB"/>
    <w:rsid w:val="001F2171"/>
    <w:rsid w:val="001F5B80"/>
    <w:rsid w:val="0021784A"/>
    <w:rsid w:val="0022081A"/>
    <w:rsid w:val="00220EBF"/>
    <w:rsid w:val="00221609"/>
    <w:rsid w:val="00221F72"/>
    <w:rsid w:val="002253C3"/>
    <w:rsid w:val="00227048"/>
    <w:rsid w:val="00235301"/>
    <w:rsid w:val="002362AD"/>
    <w:rsid w:val="00241274"/>
    <w:rsid w:val="0025182D"/>
    <w:rsid w:val="00252B60"/>
    <w:rsid w:val="00263545"/>
    <w:rsid w:val="00282CEC"/>
    <w:rsid w:val="00290C0E"/>
    <w:rsid w:val="002A065B"/>
    <w:rsid w:val="002A0AB5"/>
    <w:rsid w:val="002A46D1"/>
    <w:rsid w:val="002A738A"/>
    <w:rsid w:val="002A7F91"/>
    <w:rsid w:val="002B5242"/>
    <w:rsid w:val="002B5747"/>
    <w:rsid w:val="002C6EB6"/>
    <w:rsid w:val="002D01E7"/>
    <w:rsid w:val="002D51A1"/>
    <w:rsid w:val="002D5713"/>
    <w:rsid w:val="002F6239"/>
    <w:rsid w:val="002F6A05"/>
    <w:rsid w:val="002F6E69"/>
    <w:rsid w:val="00310AED"/>
    <w:rsid w:val="003126A0"/>
    <w:rsid w:val="0031472F"/>
    <w:rsid w:val="00317216"/>
    <w:rsid w:val="0032076C"/>
    <w:rsid w:val="00322F22"/>
    <w:rsid w:val="00330D69"/>
    <w:rsid w:val="00337040"/>
    <w:rsid w:val="00344CE5"/>
    <w:rsid w:val="00345208"/>
    <w:rsid w:val="00353FC0"/>
    <w:rsid w:val="003701F8"/>
    <w:rsid w:val="0037244C"/>
    <w:rsid w:val="00372FC2"/>
    <w:rsid w:val="00377775"/>
    <w:rsid w:val="00377EB0"/>
    <w:rsid w:val="00381B18"/>
    <w:rsid w:val="00382097"/>
    <w:rsid w:val="003856FA"/>
    <w:rsid w:val="00387DB9"/>
    <w:rsid w:val="00395CE4"/>
    <w:rsid w:val="003A12E2"/>
    <w:rsid w:val="003A2612"/>
    <w:rsid w:val="003A570C"/>
    <w:rsid w:val="003A6658"/>
    <w:rsid w:val="003B1FBC"/>
    <w:rsid w:val="003B5971"/>
    <w:rsid w:val="003C1361"/>
    <w:rsid w:val="003C26F7"/>
    <w:rsid w:val="003C291F"/>
    <w:rsid w:val="003C5890"/>
    <w:rsid w:val="003D1823"/>
    <w:rsid w:val="003D38D7"/>
    <w:rsid w:val="003E728B"/>
    <w:rsid w:val="003F5AE2"/>
    <w:rsid w:val="003F66FD"/>
    <w:rsid w:val="0041246B"/>
    <w:rsid w:val="00420087"/>
    <w:rsid w:val="004250B6"/>
    <w:rsid w:val="00434C81"/>
    <w:rsid w:val="00436CD8"/>
    <w:rsid w:val="004374D9"/>
    <w:rsid w:val="00437937"/>
    <w:rsid w:val="0044437B"/>
    <w:rsid w:val="00444A94"/>
    <w:rsid w:val="0044589D"/>
    <w:rsid w:val="00446D2E"/>
    <w:rsid w:val="004472F1"/>
    <w:rsid w:val="00461EB9"/>
    <w:rsid w:val="00467A0F"/>
    <w:rsid w:val="00472A6E"/>
    <w:rsid w:val="00473F61"/>
    <w:rsid w:val="00474A7B"/>
    <w:rsid w:val="004753D1"/>
    <w:rsid w:val="00481B41"/>
    <w:rsid w:val="004856EC"/>
    <w:rsid w:val="00493586"/>
    <w:rsid w:val="004A0062"/>
    <w:rsid w:val="004A05E4"/>
    <w:rsid w:val="004A2AD2"/>
    <w:rsid w:val="004A3743"/>
    <w:rsid w:val="004B1848"/>
    <w:rsid w:val="004B5B72"/>
    <w:rsid w:val="004B701E"/>
    <w:rsid w:val="004C057C"/>
    <w:rsid w:val="004C1681"/>
    <w:rsid w:val="004C16FF"/>
    <w:rsid w:val="004C6605"/>
    <w:rsid w:val="004C7237"/>
    <w:rsid w:val="004D0F40"/>
    <w:rsid w:val="004D2F45"/>
    <w:rsid w:val="004D7787"/>
    <w:rsid w:val="004E4081"/>
    <w:rsid w:val="004F5686"/>
    <w:rsid w:val="00507E0F"/>
    <w:rsid w:val="00511DE4"/>
    <w:rsid w:val="00512E57"/>
    <w:rsid w:val="00516FEB"/>
    <w:rsid w:val="005174DC"/>
    <w:rsid w:val="00521B76"/>
    <w:rsid w:val="00522819"/>
    <w:rsid w:val="005302AC"/>
    <w:rsid w:val="005314AC"/>
    <w:rsid w:val="0053236A"/>
    <w:rsid w:val="005364FC"/>
    <w:rsid w:val="00544AF8"/>
    <w:rsid w:val="005459D9"/>
    <w:rsid w:val="00545CDA"/>
    <w:rsid w:val="00550EC7"/>
    <w:rsid w:val="00552537"/>
    <w:rsid w:val="00552DF2"/>
    <w:rsid w:val="005607A7"/>
    <w:rsid w:val="0056265D"/>
    <w:rsid w:val="00565EE8"/>
    <w:rsid w:val="0057783D"/>
    <w:rsid w:val="00577FE0"/>
    <w:rsid w:val="00593DCA"/>
    <w:rsid w:val="0059487B"/>
    <w:rsid w:val="005A2C17"/>
    <w:rsid w:val="005A2D8C"/>
    <w:rsid w:val="005A6D7E"/>
    <w:rsid w:val="005B0CDC"/>
    <w:rsid w:val="005B71E6"/>
    <w:rsid w:val="005D759B"/>
    <w:rsid w:val="005D7942"/>
    <w:rsid w:val="005D7956"/>
    <w:rsid w:val="005E3AFB"/>
    <w:rsid w:val="005E7F7C"/>
    <w:rsid w:val="006050B5"/>
    <w:rsid w:val="00605BA2"/>
    <w:rsid w:val="00607E82"/>
    <w:rsid w:val="006148A9"/>
    <w:rsid w:val="00615BC5"/>
    <w:rsid w:val="0062402E"/>
    <w:rsid w:val="00625160"/>
    <w:rsid w:val="00625450"/>
    <w:rsid w:val="0062666D"/>
    <w:rsid w:val="00627F4A"/>
    <w:rsid w:val="00635B74"/>
    <w:rsid w:val="00640720"/>
    <w:rsid w:val="00641409"/>
    <w:rsid w:val="00641545"/>
    <w:rsid w:val="00641684"/>
    <w:rsid w:val="00641EEF"/>
    <w:rsid w:val="0064407E"/>
    <w:rsid w:val="00645A49"/>
    <w:rsid w:val="006462D6"/>
    <w:rsid w:val="00651EE5"/>
    <w:rsid w:val="00653667"/>
    <w:rsid w:val="006539A0"/>
    <w:rsid w:val="0066052A"/>
    <w:rsid w:val="00665235"/>
    <w:rsid w:val="006705FD"/>
    <w:rsid w:val="00671A26"/>
    <w:rsid w:val="00673692"/>
    <w:rsid w:val="006779C0"/>
    <w:rsid w:val="00682921"/>
    <w:rsid w:val="006836C2"/>
    <w:rsid w:val="00683F92"/>
    <w:rsid w:val="006852F3"/>
    <w:rsid w:val="00686F81"/>
    <w:rsid w:val="006941C5"/>
    <w:rsid w:val="0069711C"/>
    <w:rsid w:val="0069763D"/>
    <w:rsid w:val="006A7EF5"/>
    <w:rsid w:val="006B1646"/>
    <w:rsid w:val="006B1993"/>
    <w:rsid w:val="006C2B89"/>
    <w:rsid w:val="006C386B"/>
    <w:rsid w:val="006C4899"/>
    <w:rsid w:val="006C4F19"/>
    <w:rsid w:val="006C53B5"/>
    <w:rsid w:val="006C5BBC"/>
    <w:rsid w:val="006D355F"/>
    <w:rsid w:val="006D7A6D"/>
    <w:rsid w:val="006E4DD5"/>
    <w:rsid w:val="006E6AA6"/>
    <w:rsid w:val="006F1F80"/>
    <w:rsid w:val="006F385D"/>
    <w:rsid w:val="0070353A"/>
    <w:rsid w:val="00711E4C"/>
    <w:rsid w:val="00716BEC"/>
    <w:rsid w:val="00720ECF"/>
    <w:rsid w:val="00724A10"/>
    <w:rsid w:val="0072690C"/>
    <w:rsid w:val="00727705"/>
    <w:rsid w:val="0073073C"/>
    <w:rsid w:val="007355D6"/>
    <w:rsid w:val="00745088"/>
    <w:rsid w:val="00745E69"/>
    <w:rsid w:val="00746013"/>
    <w:rsid w:val="007602A2"/>
    <w:rsid w:val="00762467"/>
    <w:rsid w:val="00763B7E"/>
    <w:rsid w:val="0076673B"/>
    <w:rsid w:val="0077078F"/>
    <w:rsid w:val="0077307A"/>
    <w:rsid w:val="007817AE"/>
    <w:rsid w:val="0078443A"/>
    <w:rsid w:val="007865D0"/>
    <w:rsid w:val="00786BDE"/>
    <w:rsid w:val="007A07C2"/>
    <w:rsid w:val="007A1A58"/>
    <w:rsid w:val="007A35AF"/>
    <w:rsid w:val="007A4AAD"/>
    <w:rsid w:val="007A500D"/>
    <w:rsid w:val="007A655F"/>
    <w:rsid w:val="007B0DBC"/>
    <w:rsid w:val="007D14A2"/>
    <w:rsid w:val="007D520B"/>
    <w:rsid w:val="007D5E4E"/>
    <w:rsid w:val="007D65B7"/>
    <w:rsid w:val="007D7D39"/>
    <w:rsid w:val="007E1773"/>
    <w:rsid w:val="007F0F87"/>
    <w:rsid w:val="007F7BFD"/>
    <w:rsid w:val="007F7C60"/>
    <w:rsid w:val="008013C2"/>
    <w:rsid w:val="00801AEA"/>
    <w:rsid w:val="008109BC"/>
    <w:rsid w:val="00814694"/>
    <w:rsid w:val="00820F48"/>
    <w:rsid w:val="0082157C"/>
    <w:rsid w:val="008303A5"/>
    <w:rsid w:val="00835C88"/>
    <w:rsid w:val="0084219F"/>
    <w:rsid w:val="00842A8B"/>
    <w:rsid w:val="0084301C"/>
    <w:rsid w:val="0084473C"/>
    <w:rsid w:val="00855704"/>
    <w:rsid w:val="00865C40"/>
    <w:rsid w:val="00884816"/>
    <w:rsid w:val="00890395"/>
    <w:rsid w:val="008927EE"/>
    <w:rsid w:val="00893D5D"/>
    <w:rsid w:val="008957AB"/>
    <w:rsid w:val="00897F2E"/>
    <w:rsid w:val="008A04A2"/>
    <w:rsid w:val="008A0997"/>
    <w:rsid w:val="008A1A18"/>
    <w:rsid w:val="008B01F1"/>
    <w:rsid w:val="008C4511"/>
    <w:rsid w:val="008C6393"/>
    <w:rsid w:val="008C6A03"/>
    <w:rsid w:val="008C7C0B"/>
    <w:rsid w:val="008E064B"/>
    <w:rsid w:val="008E22C0"/>
    <w:rsid w:val="008E28CF"/>
    <w:rsid w:val="008E307D"/>
    <w:rsid w:val="008F00AE"/>
    <w:rsid w:val="008F7759"/>
    <w:rsid w:val="0090090E"/>
    <w:rsid w:val="009033BA"/>
    <w:rsid w:val="00907A1C"/>
    <w:rsid w:val="00916453"/>
    <w:rsid w:val="00921248"/>
    <w:rsid w:val="009257E1"/>
    <w:rsid w:val="0093739E"/>
    <w:rsid w:val="00937E50"/>
    <w:rsid w:val="00941E26"/>
    <w:rsid w:val="009440F2"/>
    <w:rsid w:val="00945981"/>
    <w:rsid w:val="00951306"/>
    <w:rsid w:val="0095241E"/>
    <w:rsid w:val="009665E4"/>
    <w:rsid w:val="00966FEE"/>
    <w:rsid w:val="009709CE"/>
    <w:rsid w:val="00971529"/>
    <w:rsid w:val="009716E7"/>
    <w:rsid w:val="009742BA"/>
    <w:rsid w:val="009759B0"/>
    <w:rsid w:val="009761F1"/>
    <w:rsid w:val="00977389"/>
    <w:rsid w:val="00980A6C"/>
    <w:rsid w:val="00982ADB"/>
    <w:rsid w:val="00983C26"/>
    <w:rsid w:val="0098708E"/>
    <w:rsid w:val="00991D49"/>
    <w:rsid w:val="0099762A"/>
    <w:rsid w:val="009A28FF"/>
    <w:rsid w:val="009B5545"/>
    <w:rsid w:val="009C082D"/>
    <w:rsid w:val="009C2C66"/>
    <w:rsid w:val="009C6097"/>
    <w:rsid w:val="009D1D8C"/>
    <w:rsid w:val="009E47D5"/>
    <w:rsid w:val="009F461E"/>
    <w:rsid w:val="009F715A"/>
    <w:rsid w:val="00A039A1"/>
    <w:rsid w:val="00A07CF6"/>
    <w:rsid w:val="00A1227F"/>
    <w:rsid w:val="00A12E6E"/>
    <w:rsid w:val="00A179D7"/>
    <w:rsid w:val="00A27E58"/>
    <w:rsid w:val="00A318A1"/>
    <w:rsid w:val="00A31B8F"/>
    <w:rsid w:val="00A337E6"/>
    <w:rsid w:val="00A34508"/>
    <w:rsid w:val="00A34931"/>
    <w:rsid w:val="00A40C8A"/>
    <w:rsid w:val="00A425B6"/>
    <w:rsid w:val="00A447BA"/>
    <w:rsid w:val="00A47D23"/>
    <w:rsid w:val="00A549DF"/>
    <w:rsid w:val="00A60200"/>
    <w:rsid w:val="00A67638"/>
    <w:rsid w:val="00A7210D"/>
    <w:rsid w:val="00A7427E"/>
    <w:rsid w:val="00A76106"/>
    <w:rsid w:val="00A84A10"/>
    <w:rsid w:val="00A93DBC"/>
    <w:rsid w:val="00AA7100"/>
    <w:rsid w:val="00AA7626"/>
    <w:rsid w:val="00AB2C23"/>
    <w:rsid w:val="00AB4726"/>
    <w:rsid w:val="00AB560F"/>
    <w:rsid w:val="00AC0DF5"/>
    <w:rsid w:val="00AC410B"/>
    <w:rsid w:val="00AD2033"/>
    <w:rsid w:val="00AD37E1"/>
    <w:rsid w:val="00AD3C49"/>
    <w:rsid w:val="00AD4023"/>
    <w:rsid w:val="00AD7718"/>
    <w:rsid w:val="00AD7B6A"/>
    <w:rsid w:val="00AF1095"/>
    <w:rsid w:val="00AF6FC8"/>
    <w:rsid w:val="00B017F7"/>
    <w:rsid w:val="00B01D2F"/>
    <w:rsid w:val="00B02AA4"/>
    <w:rsid w:val="00B071DB"/>
    <w:rsid w:val="00B1226D"/>
    <w:rsid w:val="00B15EC4"/>
    <w:rsid w:val="00B21241"/>
    <w:rsid w:val="00B256D1"/>
    <w:rsid w:val="00B33089"/>
    <w:rsid w:val="00B346F1"/>
    <w:rsid w:val="00B35A9B"/>
    <w:rsid w:val="00B426DE"/>
    <w:rsid w:val="00B441B0"/>
    <w:rsid w:val="00B539D1"/>
    <w:rsid w:val="00B57A83"/>
    <w:rsid w:val="00B63481"/>
    <w:rsid w:val="00B66064"/>
    <w:rsid w:val="00B7093B"/>
    <w:rsid w:val="00B7667F"/>
    <w:rsid w:val="00B77B15"/>
    <w:rsid w:val="00B903CB"/>
    <w:rsid w:val="00BA6D54"/>
    <w:rsid w:val="00BB302E"/>
    <w:rsid w:val="00BB50FB"/>
    <w:rsid w:val="00BB5EEB"/>
    <w:rsid w:val="00BB697D"/>
    <w:rsid w:val="00BC049C"/>
    <w:rsid w:val="00BC0B5C"/>
    <w:rsid w:val="00BC187C"/>
    <w:rsid w:val="00BC4B0C"/>
    <w:rsid w:val="00BE1C2F"/>
    <w:rsid w:val="00BE2ED7"/>
    <w:rsid w:val="00BE3F4F"/>
    <w:rsid w:val="00BF2F6D"/>
    <w:rsid w:val="00BF331F"/>
    <w:rsid w:val="00BF3BFD"/>
    <w:rsid w:val="00BF6043"/>
    <w:rsid w:val="00BF7554"/>
    <w:rsid w:val="00BF7E80"/>
    <w:rsid w:val="00C00637"/>
    <w:rsid w:val="00C05F83"/>
    <w:rsid w:val="00C1027B"/>
    <w:rsid w:val="00C1365A"/>
    <w:rsid w:val="00C13C72"/>
    <w:rsid w:val="00C1743A"/>
    <w:rsid w:val="00C21EE0"/>
    <w:rsid w:val="00C2303C"/>
    <w:rsid w:val="00C2305C"/>
    <w:rsid w:val="00C239A3"/>
    <w:rsid w:val="00C30C7F"/>
    <w:rsid w:val="00C33224"/>
    <w:rsid w:val="00C34DD5"/>
    <w:rsid w:val="00C369E8"/>
    <w:rsid w:val="00C36F73"/>
    <w:rsid w:val="00C4001B"/>
    <w:rsid w:val="00C411F2"/>
    <w:rsid w:val="00C50137"/>
    <w:rsid w:val="00C55913"/>
    <w:rsid w:val="00C62066"/>
    <w:rsid w:val="00C624A7"/>
    <w:rsid w:val="00C739F7"/>
    <w:rsid w:val="00C74FCD"/>
    <w:rsid w:val="00C837F8"/>
    <w:rsid w:val="00C86BCD"/>
    <w:rsid w:val="00C8776B"/>
    <w:rsid w:val="00C964A8"/>
    <w:rsid w:val="00CA1394"/>
    <w:rsid w:val="00CA5926"/>
    <w:rsid w:val="00CB0DFA"/>
    <w:rsid w:val="00CB4284"/>
    <w:rsid w:val="00CB71B5"/>
    <w:rsid w:val="00CC5EF8"/>
    <w:rsid w:val="00CD3885"/>
    <w:rsid w:val="00CD6757"/>
    <w:rsid w:val="00CE227B"/>
    <w:rsid w:val="00CE3200"/>
    <w:rsid w:val="00CE6B03"/>
    <w:rsid w:val="00CE6FD0"/>
    <w:rsid w:val="00D03C9D"/>
    <w:rsid w:val="00D14D78"/>
    <w:rsid w:val="00D15B66"/>
    <w:rsid w:val="00D16A10"/>
    <w:rsid w:val="00D17EC0"/>
    <w:rsid w:val="00D207D8"/>
    <w:rsid w:val="00D223DF"/>
    <w:rsid w:val="00D31970"/>
    <w:rsid w:val="00D32A09"/>
    <w:rsid w:val="00D35D93"/>
    <w:rsid w:val="00D40F73"/>
    <w:rsid w:val="00D56A82"/>
    <w:rsid w:val="00D608D3"/>
    <w:rsid w:val="00D60AC1"/>
    <w:rsid w:val="00D66644"/>
    <w:rsid w:val="00D6684E"/>
    <w:rsid w:val="00D66BF8"/>
    <w:rsid w:val="00D75784"/>
    <w:rsid w:val="00D76CC6"/>
    <w:rsid w:val="00D81165"/>
    <w:rsid w:val="00D93815"/>
    <w:rsid w:val="00D93C21"/>
    <w:rsid w:val="00D943B1"/>
    <w:rsid w:val="00DA6D2D"/>
    <w:rsid w:val="00DB248E"/>
    <w:rsid w:val="00DB327B"/>
    <w:rsid w:val="00DB419C"/>
    <w:rsid w:val="00DB4C4E"/>
    <w:rsid w:val="00DB7340"/>
    <w:rsid w:val="00DB77B5"/>
    <w:rsid w:val="00DC1C03"/>
    <w:rsid w:val="00DC6D88"/>
    <w:rsid w:val="00DD20CB"/>
    <w:rsid w:val="00DE0888"/>
    <w:rsid w:val="00DE2344"/>
    <w:rsid w:val="00DE2497"/>
    <w:rsid w:val="00DE2DA2"/>
    <w:rsid w:val="00DF50CA"/>
    <w:rsid w:val="00E01D83"/>
    <w:rsid w:val="00E044A9"/>
    <w:rsid w:val="00E04935"/>
    <w:rsid w:val="00E135B2"/>
    <w:rsid w:val="00E2176C"/>
    <w:rsid w:val="00E240EA"/>
    <w:rsid w:val="00E37A10"/>
    <w:rsid w:val="00E4527B"/>
    <w:rsid w:val="00E5595E"/>
    <w:rsid w:val="00E60DA1"/>
    <w:rsid w:val="00E639DE"/>
    <w:rsid w:val="00E80A2A"/>
    <w:rsid w:val="00E83182"/>
    <w:rsid w:val="00E836A0"/>
    <w:rsid w:val="00E84487"/>
    <w:rsid w:val="00E85A19"/>
    <w:rsid w:val="00E862F0"/>
    <w:rsid w:val="00E90461"/>
    <w:rsid w:val="00E90BBC"/>
    <w:rsid w:val="00E9799C"/>
    <w:rsid w:val="00EA194D"/>
    <w:rsid w:val="00EA3E82"/>
    <w:rsid w:val="00EA76F7"/>
    <w:rsid w:val="00EB1569"/>
    <w:rsid w:val="00EB6087"/>
    <w:rsid w:val="00EC2D50"/>
    <w:rsid w:val="00EC38C2"/>
    <w:rsid w:val="00ED0253"/>
    <w:rsid w:val="00ED3B76"/>
    <w:rsid w:val="00ED739B"/>
    <w:rsid w:val="00ED7490"/>
    <w:rsid w:val="00EE1BAF"/>
    <w:rsid w:val="00EE1F61"/>
    <w:rsid w:val="00EE3673"/>
    <w:rsid w:val="00EE5382"/>
    <w:rsid w:val="00EE7B84"/>
    <w:rsid w:val="00EF1279"/>
    <w:rsid w:val="00EF214D"/>
    <w:rsid w:val="00EF25C9"/>
    <w:rsid w:val="00EF58A6"/>
    <w:rsid w:val="00EF5EEA"/>
    <w:rsid w:val="00EF7B37"/>
    <w:rsid w:val="00F0448E"/>
    <w:rsid w:val="00F070ED"/>
    <w:rsid w:val="00F1437E"/>
    <w:rsid w:val="00F16169"/>
    <w:rsid w:val="00F16902"/>
    <w:rsid w:val="00F22A05"/>
    <w:rsid w:val="00F23CB0"/>
    <w:rsid w:val="00F25CFC"/>
    <w:rsid w:val="00F276A9"/>
    <w:rsid w:val="00F35A13"/>
    <w:rsid w:val="00F37439"/>
    <w:rsid w:val="00F477F4"/>
    <w:rsid w:val="00F5056A"/>
    <w:rsid w:val="00F53CD5"/>
    <w:rsid w:val="00F56A8E"/>
    <w:rsid w:val="00F5753E"/>
    <w:rsid w:val="00F61E13"/>
    <w:rsid w:val="00F61EF0"/>
    <w:rsid w:val="00F62745"/>
    <w:rsid w:val="00F62AB1"/>
    <w:rsid w:val="00F62AD7"/>
    <w:rsid w:val="00F71C8A"/>
    <w:rsid w:val="00F743CD"/>
    <w:rsid w:val="00F835A4"/>
    <w:rsid w:val="00F93570"/>
    <w:rsid w:val="00FA4B9D"/>
    <w:rsid w:val="00FA61CC"/>
    <w:rsid w:val="00FA6360"/>
    <w:rsid w:val="00FA6454"/>
    <w:rsid w:val="00FA7629"/>
    <w:rsid w:val="00FB35FE"/>
    <w:rsid w:val="00FB5D5F"/>
    <w:rsid w:val="00FB5DE6"/>
    <w:rsid w:val="00FD0060"/>
    <w:rsid w:val="00FD7A4B"/>
    <w:rsid w:val="00FE10C6"/>
    <w:rsid w:val="00FE1470"/>
    <w:rsid w:val="00FE1523"/>
    <w:rsid w:val="00FE5685"/>
    <w:rsid w:val="00FE65DF"/>
    <w:rsid w:val="00FF26D7"/>
    <w:rsid w:val="00FF3DB6"/>
    <w:rsid w:val="00FF75A0"/>
    <w:rsid w:val="01481D41"/>
    <w:rsid w:val="04C822DD"/>
    <w:rsid w:val="09FA6D4E"/>
    <w:rsid w:val="0A760430"/>
    <w:rsid w:val="0E557F6B"/>
    <w:rsid w:val="15D03A1E"/>
    <w:rsid w:val="1C7C72CB"/>
    <w:rsid w:val="1E426F10"/>
    <w:rsid w:val="244D0A8C"/>
    <w:rsid w:val="25B24FBC"/>
    <w:rsid w:val="26832917"/>
    <w:rsid w:val="2712606C"/>
    <w:rsid w:val="2C0D2E7E"/>
    <w:rsid w:val="2E1D40FE"/>
    <w:rsid w:val="341E4589"/>
    <w:rsid w:val="3769162A"/>
    <w:rsid w:val="376C40F2"/>
    <w:rsid w:val="3878579D"/>
    <w:rsid w:val="3A275BAD"/>
    <w:rsid w:val="4A013D2A"/>
    <w:rsid w:val="4A9D4447"/>
    <w:rsid w:val="4ED15F79"/>
    <w:rsid w:val="4EEB12D5"/>
    <w:rsid w:val="5429369F"/>
    <w:rsid w:val="553D2F5D"/>
    <w:rsid w:val="580A2D05"/>
    <w:rsid w:val="58BC6320"/>
    <w:rsid w:val="5D0E4E40"/>
    <w:rsid w:val="5D60784C"/>
    <w:rsid w:val="5D625F6C"/>
    <w:rsid w:val="61A05390"/>
    <w:rsid w:val="66D65FB2"/>
    <w:rsid w:val="66EE3EBB"/>
    <w:rsid w:val="67A75C77"/>
    <w:rsid w:val="6B0A3830"/>
    <w:rsid w:val="6E682EDC"/>
    <w:rsid w:val="6FAA3617"/>
    <w:rsid w:val="760C2922"/>
    <w:rsid w:val="7918237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rPr>
      <w:rFonts w:ascii="Times New Roman" w:hAnsi="Times New Roman"/>
      <w:sz w:val="30"/>
    </w:rPr>
  </w:style>
  <w:style w:type="paragraph" w:styleId="3">
    <w:name w:val="annotation text"/>
    <w:basedOn w:val="1"/>
    <w:link w:val="19"/>
    <w:unhideWhenUsed/>
    <w:qFormat/>
    <w:uiPriority w:val="99"/>
    <w:pPr>
      <w:jc w:val="left"/>
    </w:pPr>
  </w:style>
  <w:style w:type="paragraph" w:styleId="4">
    <w:name w:val="Balloon Text"/>
    <w:basedOn w:val="1"/>
    <w:link w:val="15"/>
    <w:semiHidden/>
    <w:unhideWhenUsed/>
    <w:qFormat/>
    <w:uiPriority w:val="99"/>
    <w:rPr>
      <w:sz w:val="18"/>
      <w:szCs w:val="18"/>
    </w:rPr>
  </w:style>
  <w:style w:type="paragraph" w:styleId="5">
    <w:name w:val="footer"/>
    <w:basedOn w:val="1"/>
    <w:link w:val="14"/>
    <w:unhideWhenUsed/>
    <w:qFormat/>
    <w:uiPriority w:val="0"/>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1">
    <w:name w:val="page number"/>
    <w:basedOn w:val="10"/>
    <w:qFormat/>
    <w:uiPriority w:val="0"/>
  </w:style>
  <w:style w:type="paragraph" w:styleId="12">
    <w:name w:val="List Paragraph"/>
    <w:basedOn w:val="1"/>
    <w:qFormat/>
    <w:uiPriority w:val="34"/>
    <w:pPr>
      <w:ind w:firstLine="420" w:firstLineChars="200"/>
    </w:pPr>
  </w:style>
  <w:style w:type="character" w:customStyle="1" w:styleId="13">
    <w:name w:val="页眉 Char"/>
    <w:basedOn w:val="10"/>
    <w:link w:val="6"/>
    <w:qFormat/>
    <w:uiPriority w:val="99"/>
    <w:rPr>
      <w:sz w:val="18"/>
      <w:szCs w:val="18"/>
    </w:rPr>
  </w:style>
  <w:style w:type="character" w:customStyle="1" w:styleId="14">
    <w:name w:val="页脚 Char"/>
    <w:basedOn w:val="10"/>
    <w:link w:val="5"/>
    <w:qFormat/>
    <w:uiPriority w:val="99"/>
    <w:rPr>
      <w:sz w:val="18"/>
      <w:szCs w:val="18"/>
    </w:rPr>
  </w:style>
  <w:style w:type="character" w:customStyle="1" w:styleId="15">
    <w:name w:val="批注框文本 Char"/>
    <w:basedOn w:val="10"/>
    <w:link w:val="4"/>
    <w:semiHidden/>
    <w:qFormat/>
    <w:uiPriority w:val="99"/>
    <w:rPr>
      <w:sz w:val="18"/>
      <w:szCs w:val="18"/>
    </w:rPr>
  </w:style>
  <w:style w:type="table" w:customStyle="1" w:styleId="16">
    <w:name w:val="网格型1"/>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7">
    <w:name w:val="font11"/>
    <w:basedOn w:val="10"/>
    <w:qFormat/>
    <w:uiPriority w:val="0"/>
    <w:rPr>
      <w:rFonts w:hint="eastAsia" w:ascii="仿宋_GB2312" w:eastAsia="仿宋_GB2312" w:cs="仿宋_GB2312"/>
      <w:color w:val="000000"/>
      <w:sz w:val="24"/>
      <w:szCs w:val="24"/>
      <w:u w:val="none"/>
    </w:rPr>
  </w:style>
  <w:style w:type="paragraph" w:customStyle="1" w:styleId="18">
    <w:name w:val="0"/>
    <w:basedOn w:val="1"/>
    <w:qFormat/>
    <w:uiPriority w:val="0"/>
    <w:pPr>
      <w:widowControl/>
      <w:snapToGrid w:val="0"/>
      <w:ind w:firstLine="420" w:firstLineChars="200"/>
    </w:pPr>
    <w:rPr>
      <w:rFonts w:ascii="仿宋_GB2312" w:hAnsi="仿宋_GB2312" w:eastAsia="仿宋_GB2312" w:cs="Times New Roman"/>
      <w:kern w:val="0"/>
      <w:sz w:val="32"/>
      <w:szCs w:val="21"/>
    </w:rPr>
  </w:style>
  <w:style w:type="character" w:customStyle="1" w:styleId="19">
    <w:name w:val="批注文字 Char"/>
    <w:basedOn w:val="10"/>
    <w:link w:val="3"/>
    <w:qFormat/>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42"/>
    <customShpInfo spid="_x0000_s10244" textRotate="1"/>
    <customShpInfo spid="_x0000_s1024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076A9A-0F07-4D92-8EF2-C7078EF6256C}">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511</Words>
  <Characters>2918</Characters>
  <Lines>24</Lines>
  <Paragraphs>6</Paragraphs>
  <TotalTime>3</TotalTime>
  <ScaleCrop>false</ScaleCrop>
  <LinksUpToDate>false</LinksUpToDate>
  <CharactersWithSpaces>3423</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2020-05-24T00:56:00Z</dcterms:created>
  <dc:creator>Administrator</dc:creator>
  <cp:lastModifiedBy>Administrator</cp:lastModifiedBy>
  <cp:lastPrinted>2020-07-07T04:12:00Z</cp:lastPrinted>
  <dcterms:modified xsi:type="dcterms:W3CDTF">2020-07-08T06:46:00Z</dcterms:modified>
  <cp:revision>179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