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关于《山东省重点行业能效“领跑者”遴选管理办法（试行）》起草说明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为加快推动重点行业工业能效提升，突出能效标准引领，发挥标杆示范作用，推动重点行业工业企业节能降耗，结合我省实际，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绿色发展推进</w:t>
      </w:r>
      <w:r>
        <w:rPr>
          <w:rFonts w:ascii="Times New Roman" w:hAnsi="Times New Roman" w:eastAsia="仿宋_GB2312"/>
          <w:sz w:val="32"/>
          <w:szCs w:val="32"/>
        </w:rPr>
        <w:t>处起草了《山东省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重点行业能效“领跑者”遴选管理办法（试行）</w:t>
      </w:r>
      <w:r>
        <w:rPr>
          <w:rFonts w:ascii="Times New Roman" w:hAnsi="Times New Roman" w:eastAsia="仿宋_GB2312"/>
          <w:sz w:val="32"/>
          <w:szCs w:val="32"/>
        </w:rPr>
        <w:t>》，拟以省工业和信息化厅文件印发，有关情况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说明</w:t>
      </w:r>
      <w:r>
        <w:rPr>
          <w:rFonts w:ascii="Times New Roman" w:hAnsi="Times New Roman" w:eastAsia="仿宋_GB2312"/>
          <w:sz w:val="32"/>
          <w:szCs w:val="32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一、起草背景及过程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根据《山东省“十四五”节能减排实施方案》中的相关要求，“明确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以“两高”行业为重点，推广节能设备技术工艺，深入推进节能改造等”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同时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山东省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工业领域碳达峰工作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方案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精神和要求，结合我省实际，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我厅</w:t>
      </w:r>
      <w:r>
        <w:rPr>
          <w:rFonts w:ascii="Times New Roman" w:hAnsi="Times New Roman" w:eastAsia="仿宋_GB2312" w:cs="Times New Roman"/>
          <w:sz w:val="32"/>
          <w:szCs w:val="32"/>
        </w:rPr>
        <w:t>起草了《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山东省重点行业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效“领跑者”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遴选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管理办法(试行)</w:t>
      </w:r>
      <w:r>
        <w:rPr>
          <w:rFonts w:ascii="Times New Roman" w:hAnsi="Times New Roman" w:eastAsia="仿宋_GB2312" w:cs="Times New Roman"/>
          <w:sz w:val="32"/>
          <w:szCs w:val="32"/>
        </w:rPr>
        <w:t>》（以下简称《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管理办法</w:t>
      </w:r>
      <w:r>
        <w:rPr>
          <w:rFonts w:ascii="Times New Roman" w:hAnsi="Times New Roman" w:eastAsia="仿宋_GB2312" w:cs="Times New Roman"/>
          <w:sz w:val="32"/>
          <w:szCs w:val="32"/>
        </w:rPr>
        <w:t>》）。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我厅于</w:t>
      </w:r>
      <w:r>
        <w:rPr>
          <w:rFonts w:ascii="Times New Roman" w:hAnsi="Times New Roman" w:eastAsia="仿宋_GB2312" w:cs="Times New Roman"/>
          <w:sz w:val="32"/>
          <w:szCs w:val="32"/>
        </w:rPr>
        <w:t>今年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初</w:t>
      </w:r>
      <w:r>
        <w:rPr>
          <w:rFonts w:ascii="Times New Roman" w:hAnsi="Times New Roman" w:eastAsia="仿宋_GB2312" w:cs="Times New Roman"/>
          <w:sz w:val="32"/>
          <w:szCs w:val="32"/>
        </w:rPr>
        <w:t>启动了《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管理办法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编制工作；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日编制完成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管理办法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的征求意见稿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征求省发改委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省生态环境厅、省应急厅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和省市场监督管理局部门的意见和建议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收集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征求意见单位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反馈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的信息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共收到意见建议2条，并进行了认真研究吸纳，没有吸纳的也进行充分沟通，达成了一致意见。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编制过程重点把握以下原则：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一是坚持合法性原则。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国家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发布的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强制性能耗限额标准以及《工业重点领域能效标杆水平和基准水平》（最新版本）作为参考标准，依照法定的权限、范围、条件和程序，遴选和管理重点行业能效“领跑者”企业。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二是坚持公平公正原则。重点行业能效“领跑者”遴选对象的范围涵盖原油加工，煤制焦炭，甲醇，煤制烯烃，烧碱，纯碱，电石，乙烯，对二甲苯，乙二醇，黄磷，合成氨，尿素，磷酸一铵，磷酸二铵，钛白粉，聚氯乙烯，精对苯二甲酸，子午线轮胎，钢铁（含烧结、球团、高炉、转炉、电弧炉冶炼等工序），铁合金冶炼，铜冶炼，铅冶炼，锌冶炼，电解铝，氧化铝，工业硅，镁冶炼，水泥熟料，平板玻璃，建筑陶瓷，卫生陶瓷，卫生纸原浆，纸巾原纸，棉、化纤及混纺机织物，针织物、纱线，粘胶短纤维，聚酯涤纶等，认定的基本条件充分适用于上述重点行业工业企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三是坚持科学合理原则。《管理办法》根据我省重点行业企业当前用能效能的相关实际情况制定，具有可操作性和可执行性，能够有效促进重点行业企业用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能效能管理工作的开展。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包括总则、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认定</w:t>
      </w:r>
      <w:r>
        <w:rPr>
          <w:rFonts w:ascii="Times New Roman" w:hAnsi="Times New Roman" w:eastAsia="仿宋_GB2312" w:cs="Times New Roman"/>
          <w:sz w:val="32"/>
          <w:szCs w:val="32"/>
        </w:rPr>
        <w:t>条件、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认定</w:t>
      </w:r>
      <w:r>
        <w:rPr>
          <w:rFonts w:ascii="Times New Roman" w:hAnsi="Times New Roman" w:eastAsia="仿宋_GB2312" w:cs="Times New Roman"/>
          <w:sz w:val="32"/>
          <w:szCs w:val="32"/>
        </w:rPr>
        <w:t>程序、监督管理、附则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个章节。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第一章总则，明确了制定依据、面向对象和主要目的。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第二章申报条件，明确了申报主体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的范围和</w:t>
      </w:r>
      <w:r>
        <w:rPr>
          <w:rFonts w:ascii="Times New Roman" w:hAnsi="Times New Roman" w:eastAsia="仿宋_GB2312" w:cs="Times New Roman"/>
          <w:sz w:val="32"/>
          <w:szCs w:val="32"/>
        </w:rPr>
        <w:t>需要具备的基本条件。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认定</w:t>
      </w:r>
      <w:r>
        <w:rPr>
          <w:rFonts w:ascii="Times New Roman" w:hAnsi="Times New Roman" w:eastAsia="仿宋_GB2312" w:cs="Times New Roman"/>
          <w:sz w:val="32"/>
          <w:szCs w:val="32"/>
        </w:rPr>
        <w:t>程序，明确了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效“领跑者”申请和认定的基本流程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第四章监督管理，明确了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效“领跑者”动态管理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撤销情形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鼓励支持政策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章附则，明确了解释部门及施行日期。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NDM4MTdlYzQ4OWYyYjNhZWMwMGQ5N2JhY2U1NDgifQ=="/>
  </w:docVars>
  <w:rsids>
    <w:rsidRoot w:val="FBD8EA33"/>
    <w:rsid w:val="397E00EE"/>
    <w:rsid w:val="F57ACBD3"/>
    <w:rsid w:val="F7B7FCD0"/>
    <w:rsid w:val="FBD8E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rPr>
      <w:rFonts w:ascii="Times New Roman" w:hAnsi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2024-04-22T17:43:00Z</dcterms:created>
  <dc:creator>szy</dc:creator>
  <cp:lastModifiedBy>Eric</cp:lastModifiedBy>
  <dcterms:modified xsi:type="dcterms:W3CDTF">2024-04-24T03:01:43Z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051FB53C48D746F9BCC0256681C0764E_41</vt:lpwstr>
  </property>
</Properties>
</file>