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仿宋" w:hAnsi="仿宋" w:eastAsia="仿宋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山东省瞪羚、独角兽企业培育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三</w:t>
      </w:r>
      <w:r>
        <w:rPr>
          <w:rFonts w:hint="eastAsia" w:ascii="方正小标宋简体" w:hAnsi="仿宋" w:eastAsia="方正小标宋简体"/>
          <w:sz w:val="44"/>
          <w:szCs w:val="44"/>
        </w:rPr>
        <w:t>年行动计划（2020-2022）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瞪羚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独角兽等高成长企业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具有成长速度快、创新能力强、专业领域新、发展潜力大等显著特征，</w:t>
      </w:r>
      <w:r>
        <w:rPr>
          <w:rFonts w:hint="eastAsia" w:ascii="仿宋_GB2312" w:hAnsi="仿宋_GB2312" w:eastAsia="仿宋_GB2312" w:cs="仿宋_GB2312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新技术、新产业、新业态、新模式的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典型代表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日益成为区域创新发展的新引擎和经济增长的新动能。通过制定实施《山东省瞪羚企业认定培育和奖励行动计划（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2017-2019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）》，全省</w:t>
      </w:r>
      <w:r>
        <w:rPr>
          <w:rFonts w:hint="eastAsia" w:ascii="仿宋_GB2312" w:hAnsi="仿宋_GB2312" w:eastAsia="仿宋_GB2312" w:cs="仿宋_GB2312"/>
          <w:sz w:val="32"/>
          <w:szCs w:val="32"/>
        </w:rPr>
        <w:t>瞪羚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独角兽企业茁壮成长，为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</w:rPr>
        <w:t>省新旧动能转换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和经济高质量发展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做出了重要贡献。为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深入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贯彻党的十九大精神和习近平总书记关于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民营经济发展的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决策指示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全面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落实省委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省政府关于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促进</w:t>
      </w:r>
      <w:r>
        <w:rPr>
          <w:rFonts w:hint="eastAsia" w:ascii="仿宋_GB2312" w:hAnsi="仿宋_GB2312" w:eastAsia="仿宋_GB2312" w:cs="仿宋_GB2312"/>
          <w:sz w:val="32"/>
          <w:szCs w:val="32"/>
        </w:rPr>
        <w:t>非公有制经济发展的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工作部署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树立民营经济发展标杆，引领中小企业发展方向，根据省委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省政府《关于支持非公有制经济健康发展的十条意见》（鲁发〔2017〕21号）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《关于印发山东省新旧动能转换重大工程实施规划的通知》（鲁政发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）和《关于支持民营经济高质量发展的若干意见》（鲁政发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）等文件精神，</w:t>
      </w:r>
      <w:r>
        <w:rPr>
          <w:rFonts w:hint="eastAsia" w:ascii="仿宋_GB2312" w:hAnsi="仿宋_GB2312" w:eastAsia="仿宋_GB2312" w:cs="仿宋_GB2312"/>
          <w:sz w:val="32"/>
          <w:szCs w:val="32"/>
        </w:rPr>
        <w:t>决定开展新一轮高成长企业培育行动，制定本行动计划。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聚焦重点领域，优化发展环境，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持续引导激励中小企业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以“四新”促“四化”，着力打造新标杆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培育新动能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引领新发展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利用三年时间，每年优选100家高成长企业认定为瞪羚企业，三年共认定300家瞪羚企业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，并积极加大对独角兽企业的培育力度，力争到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2022年，全省独角兽企业数量达到20家</w:t>
      </w:r>
      <w:r>
        <w:rPr>
          <w:rFonts w:hint="eastAsia" w:ascii="仿宋_GB2312" w:hAnsi="仿宋_GB2312" w:eastAsia="仿宋_GB2312" w:cs="仿宋_GB2312"/>
          <w:sz w:val="32"/>
          <w:szCs w:val="32"/>
        </w:rPr>
        <w:t>。对认定的瞪羚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独角兽企业，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宣传推介和政策支持，发掘典型案例，推广成功经验，给予一定财政奖励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扶持，优先提供资源要素保障，</w:t>
      </w:r>
      <w:r>
        <w:rPr>
          <w:rFonts w:hint="eastAsia" w:ascii="仿宋_GB2312" w:hAnsi="仿宋_GB2312" w:eastAsia="仿宋_GB2312" w:cs="仿宋_GB2312"/>
          <w:sz w:val="32"/>
          <w:szCs w:val="32"/>
        </w:rPr>
        <w:t>引领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广大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加快推进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转型升级，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努力实现创新突破，助力推动</w:t>
      </w:r>
      <w:r>
        <w:rPr>
          <w:rFonts w:hint="eastAsia" w:ascii="仿宋_GB2312" w:hAnsi="仿宋_GB2312" w:eastAsia="仿宋_GB2312" w:cs="仿宋_GB2312"/>
          <w:sz w:val="32"/>
          <w:szCs w:val="32"/>
        </w:rPr>
        <w:t>全省新旧动能转换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和经济高质量发展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二、重点任务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培树</w:t>
      </w:r>
      <w:r>
        <w:rPr>
          <w:rFonts w:hint="eastAsia" w:ascii="楷体_GB2312" w:hAnsi="楷体_GB2312" w:eastAsia="楷体_GB2312" w:cs="楷体_GB2312"/>
          <w:sz w:val="32"/>
          <w:szCs w:val="32"/>
        </w:rPr>
        <w:t>高成长企业典型。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以发展新技术、新产业、新业态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新模式为方向，以数字经济、网络经济、绿色经济、智能制造、工业强基等为重点，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突出省新旧动能转换“十强”重点产业领域，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在全省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度过</w:t>
      </w:r>
      <w:r>
        <w:rPr>
          <w:rFonts w:hint="eastAsia" w:ascii="仿宋_GB2312" w:hAnsi="仿宋_GB2312" w:eastAsia="仿宋_GB2312" w:cs="仿宋_GB2312"/>
          <w:sz w:val="32"/>
          <w:szCs w:val="32"/>
        </w:rPr>
        <w:t>初创期进入成长期的企业中，挖掘一批成长性好、发展潜力大、带动作用强的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优质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企业，认定为瞪羚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独角兽企业，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树立</w:t>
      </w:r>
      <w:r>
        <w:rPr>
          <w:rFonts w:hint="eastAsia" w:ascii="仿宋_GB2312" w:hAnsi="仿宋_GB2312" w:eastAsia="仿宋_GB2312" w:cs="仿宋_GB2312"/>
          <w:sz w:val="32"/>
          <w:szCs w:val="32"/>
        </w:rPr>
        <w:t>全省中小企业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示范</w:t>
      </w:r>
      <w:r>
        <w:rPr>
          <w:rFonts w:hint="eastAsia" w:ascii="仿宋_GB2312" w:hAnsi="仿宋_GB2312" w:eastAsia="仿宋_GB2312" w:cs="仿宋_GB2312"/>
          <w:sz w:val="32"/>
          <w:szCs w:val="32"/>
        </w:rPr>
        <w:t>标杆。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</w:rPr>
        <w:t>促进高成长企业健康发展。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对高成长企业进行重点监测、精准指导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和全链条培育，</w:t>
      </w:r>
      <w:r>
        <w:rPr>
          <w:rFonts w:hint="eastAsia" w:ascii="仿宋_GB2312" w:hAnsi="仿宋_GB2312" w:eastAsia="仿宋_GB2312" w:cs="仿宋_GB2312"/>
          <w:sz w:val="32"/>
          <w:szCs w:val="32"/>
        </w:rPr>
        <w:t>帮助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克弱点、</w:t>
      </w:r>
      <w:r>
        <w:rPr>
          <w:rFonts w:hint="eastAsia" w:ascii="仿宋_GB2312" w:hAnsi="仿宋_GB2312" w:eastAsia="仿宋_GB2312" w:cs="仿宋_GB2312"/>
          <w:sz w:val="32"/>
          <w:szCs w:val="32"/>
        </w:rPr>
        <w:t>疏困点、解难点，组织到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先进</w:t>
      </w:r>
      <w:r>
        <w:rPr>
          <w:rFonts w:hint="eastAsia" w:ascii="仿宋_GB2312" w:hAnsi="仿宋_GB2312" w:eastAsia="仿宋_GB2312" w:cs="仿宋_GB2312"/>
          <w:sz w:val="32"/>
          <w:szCs w:val="32"/>
        </w:rPr>
        <w:t>地区和企业考察学习，指导建立现代企业制度，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推动加快</w:t>
      </w:r>
      <w:r>
        <w:rPr>
          <w:rFonts w:hint="eastAsia" w:ascii="仿宋_GB2312" w:hAnsi="仿宋_GB2312" w:eastAsia="仿宋_GB2312" w:cs="仿宋_GB2312"/>
          <w:sz w:val="32"/>
          <w:szCs w:val="32"/>
        </w:rPr>
        <w:t>数字化、网络化、智能化转型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，协调加强财政资金、科技创新、战略咨询、信用评定以及企业家培训、投融资等方面的政策支持，为</w:t>
      </w:r>
      <w:r>
        <w:rPr>
          <w:rFonts w:hint="eastAsia" w:ascii="仿宋_GB2312" w:hAnsi="仿宋_GB2312" w:eastAsia="仿宋_GB2312" w:cs="仿宋_GB2312"/>
          <w:sz w:val="32"/>
          <w:szCs w:val="32"/>
        </w:rPr>
        <w:t>高成长企业健康发展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营造良好的内外部环境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sz w:val="32"/>
          <w:szCs w:val="32"/>
        </w:rPr>
        <w:t>实施高成长企业赋能行动。</w:t>
      </w:r>
      <w:r>
        <w:rPr>
          <w:rFonts w:hint="eastAsia" w:ascii="仿宋_GB2312" w:hAnsi="仿宋_GB2312" w:eastAsia="仿宋_GB2312" w:cs="仿宋_GB2312"/>
          <w:sz w:val="32"/>
          <w:szCs w:val="32"/>
        </w:rPr>
        <w:t>充分利用互联网、大数据、云计算、人工智能等新一代信息技术，打造服务平台、完善服务体系，推动高成长企业创新体系建设，实现企业科技赋能；完善中小企业人才服务体系建设，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加强企业人才需求对接服务，</w:t>
      </w:r>
      <w:r>
        <w:rPr>
          <w:rFonts w:hint="eastAsia" w:ascii="仿宋_GB2312" w:hAnsi="仿宋_GB2312" w:eastAsia="仿宋_GB2312" w:cs="仿宋_GB2312"/>
          <w:sz w:val="32"/>
          <w:szCs w:val="32"/>
        </w:rPr>
        <w:t>缓解中小企业用工和人才难题，实现企业智力赋能；完善企业交流合作平台，促进行业资源、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研发</w:t>
      </w:r>
      <w:r>
        <w:rPr>
          <w:rFonts w:hint="eastAsia" w:ascii="仿宋_GB2312" w:hAnsi="仿宋_GB2312" w:eastAsia="仿宋_GB2312" w:cs="仿宋_GB2312"/>
          <w:sz w:val="32"/>
          <w:szCs w:val="32"/>
        </w:rPr>
        <w:t>能力等生产要素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对接</w:t>
      </w:r>
      <w:r>
        <w:rPr>
          <w:rFonts w:hint="eastAsia" w:ascii="仿宋_GB2312" w:hAnsi="仿宋_GB2312" w:eastAsia="仿宋_GB2312" w:cs="仿宋_GB2312"/>
          <w:sz w:val="32"/>
          <w:szCs w:val="32"/>
        </w:rPr>
        <w:t>共享，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促进</w:t>
      </w:r>
      <w:r>
        <w:rPr>
          <w:rFonts w:hint="eastAsia" w:ascii="仿宋_GB2312" w:hAnsi="仿宋_GB2312" w:eastAsia="仿宋_GB2312" w:cs="仿宋_GB2312"/>
          <w:sz w:val="32"/>
          <w:szCs w:val="32"/>
        </w:rPr>
        <w:t>产业链融合发展，实现企业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融创赋能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sz w:val="32"/>
          <w:szCs w:val="32"/>
        </w:rPr>
        <w:t>充分发挥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辐射</w:t>
      </w:r>
      <w:r>
        <w:rPr>
          <w:rFonts w:hint="eastAsia" w:ascii="楷体_GB2312" w:hAnsi="楷体_GB2312" w:eastAsia="楷体_GB2312" w:cs="楷体_GB2312"/>
          <w:sz w:val="32"/>
          <w:szCs w:val="32"/>
        </w:rPr>
        <w:t>带动作用。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在认定的瞪羚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独角兽企业中分别选择技术创新、模式创新、管理创新等方面的先进典型，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梳理成功案例，</w:t>
      </w:r>
      <w:r>
        <w:rPr>
          <w:rFonts w:hint="eastAsia" w:ascii="仿宋_GB2312" w:hAnsi="仿宋_GB2312" w:eastAsia="仿宋_GB2312" w:cs="仿宋_GB2312"/>
          <w:sz w:val="32"/>
          <w:szCs w:val="32"/>
        </w:rPr>
        <w:t>总结发展经验，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</w:t>
      </w:r>
      <w:r>
        <w:rPr>
          <w:rFonts w:hint="eastAsia" w:ascii="仿宋_GB2312" w:hAnsi="仿宋_GB2312" w:eastAsia="仿宋_GB2312" w:cs="仿宋_GB2312"/>
          <w:sz w:val="32"/>
          <w:szCs w:val="32"/>
        </w:rPr>
        <w:t>向全省中小企业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宣传</w:t>
      </w:r>
      <w:r>
        <w:rPr>
          <w:rFonts w:hint="eastAsia" w:ascii="仿宋_GB2312" w:hAnsi="仿宋_GB2312" w:eastAsia="仿宋_GB2312" w:cs="仿宋_GB2312"/>
          <w:sz w:val="32"/>
          <w:szCs w:val="32"/>
        </w:rPr>
        <w:t>推广，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积极扩大示范和引领效应，</w:t>
      </w:r>
      <w:r>
        <w:rPr>
          <w:rFonts w:hint="eastAsia" w:ascii="仿宋_GB2312" w:hAnsi="仿宋_GB2312" w:eastAsia="仿宋_GB2312" w:cs="仿宋_GB2312"/>
          <w:sz w:val="32"/>
          <w:szCs w:val="32"/>
        </w:rPr>
        <w:t>带动全省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中小企业竞相实现“跳跃式”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</w:rPr>
        <w:t>强化组织保障。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工业和信息化厅牵头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负责行动组织，协调省有关部门形成联动机制，共同推动计划实施。省工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业和</w:t>
      </w:r>
      <w:r>
        <w:rPr>
          <w:rFonts w:hint="eastAsia" w:ascii="仿宋_GB2312" w:hAnsi="仿宋_GB2312" w:eastAsia="仿宋_GB2312" w:cs="仿宋_GB2312"/>
          <w:sz w:val="32"/>
          <w:szCs w:val="32"/>
        </w:rPr>
        <w:t>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息化</w:t>
      </w:r>
      <w:r>
        <w:rPr>
          <w:rFonts w:hint="eastAsia" w:ascii="仿宋_GB2312" w:hAnsi="仿宋_GB2312" w:eastAsia="仿宋_GB2312" w:cs="仿宋_GB2312"/>
          <w:sz w:val="32"/>
          <w:szCs w:val="32"/>
        </w:rPr>
        <w:t>厅每年组织一次瞪羚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独角兽企业申报，各市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中小企业主</w:t>
      </w:r>
      <w:r>
        <w:rPr>
          <w:rFonts w:hint="eastAsia" w:ascii="仿宋_GB2312" w:hAnsi="仿宋_GB2312" w:eastAsia="仿宋_GB2312" w:cs="仿宋_GB2312"/>
          <w:sz w:val="32"/>
          <w:szCs w:val="32"/>
        </w:rPr>
        <w:t>管部门负责本地区企业的发动、受理、审核与推荐工作，具体申报工作的组织、评审、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认定、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管理等工作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遵照《山东省瞪羚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独角兽企业培育认定管理办法》执行（详见附件）。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实行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资金</w:t>
      </w:r>
      <w:r>
        <w:rPr>
          <w:rFonts w:hint="eastAsia" w:ascii="楷体_GB2312" w:hAnsi="楷体_GB2312" w:eastAsia="楷体_GB2312" w:cs="楷体_GB2312"/>
          <w:sz w:val="32"/>
          <w:szCs w:val="32"/>
        </w:rPr>
        <w:t>奖励。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企业初次评定为瞪羚企业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，省财政给予最高50万元的一次性资金奖励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评定为独角兽企业的，省财政给予300万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</w:rPr>
        <w:t>的一次性资金奖励。鼓励市、县政府给予配套奖励。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（三）加大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政策</w:t>
      </w:r>
      <w:r>
        <w:rPr>
          <w:rFonts w:hint="eastAsia" w:ascii="楷体_GB2312" w:hAnsi="楷体_GB2312" w:eastAsia="楷体_GB2312" w:cs="楷体_GB2312"/>
          <w:sz w:val="32"/>
          <w:szCs w:val="32"/>
        </w:rPr>
        <w:t>支持。</w:t>
      </w:r>
      <w:r>
        <w:rPr>
          <w:rFonts w:hint="eastAsia" w:ascii="仿宋_GB2312" w:hAnsi="仿宋_GB2312" w:eastAsia="仿宋_GB2312" w:cs="仿宋_GB2312"/>
          <w:sz w:val="32"/>
          <w:szCs w:val="32"/>
        </w:rPr>
        <w:t>经认定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公布</w:t>
      </w:r>
      <w:r>
        <w:rPr>
          <w:rFonts w:hint="eastAsia" w:ascii="仿宋_GB2312" w:hAnsi="仿宋_GB2312" w:eastAsia="仿宋_GB2312" w:cs="仿宋_GB2312"/>
          <w:sz w:val="32"/>
          <w:szCs w:val="32"/>
        </w:rPr>
        <w:t>的瞪羚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独角兽企业，可在山东省内多家银行获得优惠贷款政策，具体优惠政策以人民银行济南分行有关文件为准。积极争取财政、科技、金融、人社、税务等部门对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认定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企业在技术研发、融资服务、社保缴纳、人才政策、税费减免等方面予以政策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扶持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</w:rPr>
        <w:t>）加强宣传推广。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组织对瞪羚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独角兽等高成长企业发展模式、发展成就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等进行广泛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宣传，通过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新闻</w:t>
      </w:r>
      <w:r>
        <w:rPr>
          <w:rFonts w:hint="eastAsia" w:ascii="仿宋_GB2312" w:hAnsi="仿宋_GB2312" w:eastAsia="仿宋_GB2312" w:cs="仿宋_GB2312"/>
          <w:sz w:val="32"/>
          <w:szCs w:val="32"/>
        </w:rPr>
        <w:t>媒体、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</w:t>
      </w:r>
      <w:r>
        <w:rPr>
          <w:rFonts w:hint="eastAsia" w:ascii="仿宋_GB2312" w:hAnsi="仿宋_GB2312" w:eastAsia="仿宋_GB2312" w:cs="仿宋_GB2312"/>
          <w:sz w:val="32"/>
          <w:szCs w:val="32"/>
        </w:rPr>
        <w:t>论坛、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会展交流</w:t>
      </w:r>
      <w:r>
        <w:rPr>
          <w:rFonts w:hint="eastAsia" w:ascii="仿宋_GB2312" w:hAnsi="仿宋_GB2312" w:eastAsia="仿宋_GB2312" w:cs="仿宋_GB2312"/>
          <w:sz w:val="32"/>
          <w:szCs w:val="32"/>
        </w:rPr>
        <w:t>等多种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渠道扩大企业影响，塑造企业品牌，</w:t>
      </w:r>
      <w:r>
        <w:rPr>
          <w:rFonts w:hint="eastAsia" w:ascii="仿宋_GB2312" w:hAnsi="仿宋_GB2312" w:eastAsia="仿宋_GB2312" w:cs="仿宋_GB2312"/>
          <w:sz w:val="32"/>
          <w:szCs w:val="32"/>
        </w:rPr>
        <w:t>吸引生产要素聚集，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提高企业关注度和美誉度，全面展示我省中小企业创新发展的整体形象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附：山东省瞪羚、独角兽企业认定管理办法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36A"/>
    <w:rsid w:val="00022421"/>
    <w:rsid w:val="00040299"/>
    <w:rsid w:val="00121F45"/>
    <w:rsid w:val="002A236A"/>
    <w:rsid w:val="002D13D3"/>
    <w:rsid w:val="004A2CB1"/>
    <w:rsid w:val="005B7B4D"/>
    <w:rsid w:val="00673B15"/>
    <w:rsid w:val="006F632D"/>
    <w:rsid w:val="00807CBC"/>
    <w:rsid w:val="008F566B"/>
    <w:rsid w:val="00961EA8"/>
    <w:rsid w:val="009F45B3"/>
    <w:rsid w:val="00A47854"/>
    <w:rsid w:val="00B40C09"/>
    <w:rsid w:val="00BD10C0"/>
    <w:rsid w:val="00BF0541"/>
    <w:rsid w:val="00E65C2E"/>
    <w:rsid w:val="00E86660"/>
    <w:rsid w:val="00ED4856"/>
    <w:rsid w:val="00FE19E8"/>
    <w:rsid w:val="04F81B68"/>
    <w:rsid w:val="06F076BE"/>
    <w:rsid w:val="09231020"/>
    <w:rsid w:val="0DA00417"/>
    <w:rsid w:val="18225250"/>
    <w:rsid w:val="28971A85"/>
    <w:rsid w:val="28E315BB"/>
    <w:rsid w:val="376B3B37"/>
    <w:rsid w:val="37877A93"/>
    <w:rsid w:val="46123039"/>
    <w:rsid w:val="4679326C"/>
    <w:rsid w:val="53577896"/>
    <w:rsid w:val="54E0177E"/>
    <w:rsid w:val="620F5F97"/>
    <w:rsid w:val="63694051"/>
    <w:rsid w:val="64946A35"/>
    <w:rsid w:val="649B3ED7"/>
    <w:rsid w:val="6A0D4FB1"/>
    <w:rsid w:val="6E67375D"/>
    <w:rsid w:val="6F195955"/>
    <w:rsid w:val="75932F12"/>
    <w:rsid w:val="78BB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FollowedHyperlink"/>
    <w:basedOn w:val="5"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sugg-loading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236</Words>
  <Characters>1346</Characters>
  <Lines>11</Lines>
  <Paragraphs>3</Paragraphs>
  <TotalTime>2</TotalTime>
  <ScaleCrop>false</ScaleCrop>
  <LinksUpToDate>false</LinksUpToDate>
  <CharactersWithSpaces>1579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2020-06-12T03:03:00Z</dcterms:created>
  <dc:creator>Dafeng</dc:creator>
  <cp:lastModifiedBy>万吉良</cp:lastModifiedBy>
  <cp:lastPrinted>2020-06-19T02:56:00Z</cp:lastPrinted>
  <dcterms:modified xsi:type="dcterms:W3CDTF">2020-07-03T02:39:10Z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