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C1C" w:rsidRDefault="00793B58">
      <w:pPr>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 xml:space="preserve"> </w:t>
      </w:r>
    </w:p>
    <w:p w:rsidR="00D24C1C" w:rsidRDefault="00793B58">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36"/>
          <w:szCs w:val="36"/>
        </w:rPr>
        <w:t>山东省</w:t>
      </w:r>
      <w:r>
        <w:rPr>
          <w:rFonts w:ascii="方正小标宋简体" w:eastAsia="方正小标宋简体" w:hAnsi="方正小标宋简体" w:cs="方正小标宋简体" w:hint="eastAsia"/>
          <w:sz w:val="36"/>
          <w:szCs w:val="36"/>
        </w:rPr>
        <w:t>工业和信息化</w:t>
      </w:r>
      <w:r>
        <w:rPr>
          <w:rFonts w:ascii="方正小标宋简体" w:eastAsia="方正小标宋简体" w:hAnsi="方正小标宋简体" w:cs="方正小标宋简体" w:hint="eastAsia"/>
          <w:sz w:val="36"/>
          <w:szCs w:val="36"/>
        </w:rPr>
        <w:t>系统</w:t>
      </w:r>
      <w:r>
        <w:rPr>
          <w:rFonts w:ascii="方正小标宋简体" w:eastAsia="方正小标宋简体" w:hAnsi="方正小标宋简体" w:cs="方正小标宋简体" w:hint="eastAsia"/>
          <w:sz w:val="36"/>
          <w:szCs w:val="36"/>
        </w:rPr>
        <w:t>深化“证照分离”改革贯彻落实措施（</w:t>
      </w:r>
      <w:r>
        <w:rPr>
          <w:rFonts w:ascii="Times New Roman" w:eastAsia="方正小标宋简体" w:hAnsi="Times New Roman"/>
          <w:sz w:val="36"/>
          <w:szCs w:val="36"/>
        </w:rPr>
        <w:t>2021</w:t>
      </w:r>
      <w:r>
        <w:rPr>
          <w:rFonts w:ascii="方正小标宋简体" w:eastAsia="方正小标宋简体" w:hAnsi="方正小标宋简体" w:cs="方正小标宋简体"/>
          <w:sz w:val="36"/>
          <w:szCs w:val="36"/>
        </w:rPr>
        <w:t>年版）</w:t>
      </w:r>
    </w:p>
    <w:p w:rsidR="00D24C1C" w:rsidRDefault="00D24C1C">
      <w:pPr>
        <w:spacing w:line="440" w:lineRule="exact"/>
        <w:rPr>
          <w:rFonts w:ascii="Times New Roman" w:eastAsia="仿宋_GB2312" w:hAnsi="Times New Roman"/>
        </w:rPr>
      </w:pPr>
    </w:p>
    <w:tbl>
      <w:tblPr>
        <w:tblStyle w:val="a8"/>
        <w:tblW w:w="15144" w:type="dxa"/>
        <w:tblLayout w:type="fixed"/>
        <w:tblLook w:val="04A0" w:firstRow="1" w:lastRow="0" w:firstColumn="1" w:lastColumn="0" w:noHBand="0" w:noVBand="1"/>
      </w:tblPr>
      <w:tblGrid>
        <w:gridCol w:w="765"/>
        <w:gridCol w:w="1452"/>
        <w:gridCol w:w="1452"/>
        <w:gridCol w:w="1266"/>
        <w:gridCol w:w="4409"/>
        <w:gridCol w:w="4075"/>
        <w:gridCol w:w="1725"/>
      </w:tblGrid>
      <w:tr w:rsidR="00D24C1C">
        <w:trPr>
          <w:tblHeader/>
        </w:trPr>
        <w:tc>
          <w:tcPr>
            <w:tcW w:w="765" w:type="dxa"/>
            <w:vAlign w:val="center"/>
          </w:tcPr>
          <w:p w:rsidR="00D24C1C" w:rsidRDefault="00793B58">
            <w:pPr>
              <w:spacing w:line="440" w:lineRule="exact"/>
              <w:jc w:val="center"/>
              <w:rPr>
                <w:rFonts w:ascii="黑体" w:eastAsia="黑体" w:hAnsi="黑体" w:cs="黑体"/>
                <w:sz w:val="24"/>
              </w:rPr>
            </w:pPr>
            <w:r>
              <w:rPr>
                <w:rFonts w:ascii="黑体" w:eastAsia="黑体" w:hAnsi="黑体" w:cs="黑体" w:hint="eastAsia"/>
                <w:sz w:val="24"/>
              </w:rPr>
              <w:t>序号</w:t>
            </w:r>
          </w:p>
        </w:tc>
        <w:tc>
          <w:tcPr>
            <w:tcW w:w="1452" w:type="dxa"/>
            <w:vAlign w:val="center"/>
          </w:tcPr>
          <w:p w:rsidR="00D24C1C" w:rsidRDefault="00793B58">
            <w:pPr>
              <w:spacing w:line="440" w:lineRule="exact"/>
              <w:jc w:val="center"/>
              <w:rPr>
                <w:rFonts w:ascii="黑体" w:eastAsia="黑体" w:hAnsi="黑体" w:cs="黑体"/>
                <w:sz w:val="24"/>
              </w:rPr>
            </w:pPr>
            <w:r>
              <w:rPr>
                <w:rFonts w:ascii="黑体" w:eastAsia="黑体" w:hAnsi="黑体" w:cs="黑体" w:hint="eastAsia"/>
                <w:sz w:val="24"/>
              </w:rPr>
              <w:t>事项名称</w:t>
            </w:r>
          </w:p>
        </w:tc>
        <w:tc>
          <w:tcPr>
            <w:tcW w:w="1452" w:type="dxa"/>
            <w:vAlign w:val="center"/>
          </w:tcPr>
          <w:p w:rsidR="00D24C1C" w:rsidRDefault="00793B58">
            <w:pPr>
              <w:spacing w:line="440" w:lineRule="exact"/>
              <w:jc w:val="center"/>
              <w:rPr>
                <w:rFonts w:ascii="黑体" w:eastAsia="黑体" w:hAnsi="黑体" w:cs="黑体"/>
                <w:sz w:val="24"/>
              </w:rPr>
            </w:pPr>
            <w:r>
              <w:rPr>
                <w:rFonts w:ascii="黑体" w:eastAsia="黑体" w:hAnsi="黑体" w:cs="黑体" w:hint="eastAsia"/>
                <w:sz w:val="24"/>
              </w:rPr>
              <w:t>审批部门</w:t>
            </w:r>
          </w:p>
        </w:tc>
        <w:tc>
          <w:tcPr>
            <w:tcW w:w="1266" w:type="dxa"/>
            <w:vAlign w:val="center"/>
          </w:tcPr>
          <w:p w:rsidR="00D24C1C" w:rsidRDefault="00793B58">
            <w:pPr>
              <w:spacing w:line="440" w:lineRule="exact"/>
              <w:jc w:val="center"/>
              <w:rPr>
                <w:rFonts w:ascii="黑体" w:eastAsia="黑体" w:hAnsi="黑体" w:cs="黑体"/>
                <w:sz w:val="24"/>
              </w:rPr>
            </w:pPr>
            <w:r>
              <w:rPr>
                <w:rFonts w:ascii="黑体" w:eastAsia="黑体" w:hAnsi="黑体" w:cs="黑体" w:hint="eastAsia"/>
                <w:sz w:val="24"/>
              </w:rPr>
              <w:t>改革方式</w:t>
            </w:r>
          </w:p>
        </w:tc>
        <w:tc>
          <w:tcPr>
            <w:tcW w:w="4409" w:type="dxa"/>
            <w:vAlign w:val="center"/>
          </w:tcPr>
          <w:p w:rsidR="00D24C1C" w:rsidRDefault="00793B58">
            <w:pPr>
              <w:spacing w:line="440" w:lineRule="exact"/>
              <w:jc w:val="center"/>
              <w:rPr>
                <w:rFonts w:ascii="黑体" w:eastAsia="黑体" w:hAnsi="黑体" w:cs="黑体"/>
                <w:sz w:val="24"/>
              </w:rPr>
            </w:pPr>
            <w:r>
              <w:rPr>
                <w:rFonts w:ascii="黑体" w:eastAsia="黑体" w:hAnsi="黑体" w:cs="黑体" w:hint="eastAsia"/>
                <w:sz w:val="24"/>
              </w:rPr>
              <w:t>改革举措及主要理由</w:t>
            </w:r>
          </w:p>
        </w:tc>
        <w:tc>
          <w:tcPr>
            <w:tcW w:w="4075" w:type="dxa"/>
            <w:vAlign w:val="center"/>
          </w:tcPr>
          <w:p w:rsidR="00D24C1C" w:rsidRDefault="00793B58">
            <w:pPr>
              <w:spacing w:line="440" w:lineRule="exact"/>
              <w:jc w:val="center"/>
              <w:rPr>
                <w:rFonts w:ascii="黑体" w:eastAsia="黑体" w:hAnsi="黑体" w:cs="黑体"/>
                <w:sz w:val="24"/>
              </w:rPr>
            </w:pPr>
            <w:r>
              <w:rPr>
                <w:rFonts w:ascii="黑体" w:eastAsia="黑体" w:hAnsi="黑体" w:cs="黑体" w:hint="eastAsia"/>
                <w:sz w:val="24"/>
              </w:rPr>
              <w:t>事中事后</w:t>
            </w:r>
            <w:r>
              <w:rPr>
                <w:rFonts w:ascii="黑体" w:eastAsia="黑体" w:hAnsi="黑体" w:cs="黑体" w:hint="eastAsia"/>
                <w:sz w:val="24"/>
              </w:rPr>
              <w:t>监管措施</w:t>
            </w:r>
          </w:p>
        </w:tc>
        <w:tc>
          <w:tcPr>
            <w:tcW w:w="1725" w:type="dxa"/>
            <w:vAlign w:val="center"/>
          </w:tcPr>
          <w:p w:rsidR="00D24C1C" w:rsidRDefault="00793B58">
            <w:pPr>
              <w:spacing w:line="440" w:lineRule="exact"/>
              <w:jc w:val="center"/>
              <w:rPr>
                <w:rFonts w:ascii="黑体" w:eastAsia="黑体" w:hAnsi="黑体" w:cs="黑体"/>
                <w:sz w:val="24"/>
              </w:rPr>
            </w:pPr>
            <w:r>
              <w:rPr>
                <w:rFonts w:ascii="黑体" w:eastAsia="黑体" w:hAnsi="黑体" w:cs="黑体" w:hint="eastAsia"/>
                <w:sz w:val="24"/>
              </w:rPr>
              <w:t>监管层级</w:t>
            </w:r>
          </w:p>
        </w:tc>
      </w:tr>
      <w:tr w:rsidR="00D24C1C">
        <w:trPr>
          <w:trHeight w:hRule="exact" w:val="5994"/>
        </w:trPr>
        <w:tc>
          <w:tcPr>
            <w:tcW w:w="765" w:type="dxa"/>
            <w:vAlign w:val="center"/>
          </w:tcPr>
          <w:p w:rsidR="00D24C1C" w:rsidRDefault="00793B58">
            <w:pPr>
              <w:jc w:val="center"/>
              <w:rPr>
                <w:rFonts w:ascii="Times New Roman" w:eastAsia="仿宋_GB2312" w:hAnsi="Times New Roman" w:cs="仿宋_GB2312"/>
                <w:sz w:val="24"/>
              </w:rPr>
            </w:pPr>
            <w:r>
              <w:rPr>
                <w:rFonts w:eastAsia="仿宋_GB2312" w:cs="仿宋_GB2312" w:hint="eastAsia"/>
                <w:sz w:val="24"/>
              </w:rPr>
              <w:t>1</w:t>
            </w:r>
          </w:p>
        </w:tc>
        <w:tc>
          <w:tcPr>
            <w:tcW w:w="1452" w:type="dxa"/>
            <w:vAlign w:val="center"/>
          </w:tcPr>
          <w:p w:rsidR="00D24C1C" w:rsidRDefault="00793B58">
            <w:pPr>
              <w:tabs>
                <w:tab w:val="left" w:pos="3577"/>
              </w:tabs>
            </w:pPr>
            <w:r>
              <w:rPr>
                <w:rFonts w:hint="eastAsia"/>
              </w:rPr>
              <w:t>第二、三类监控化学品和第四类监控化学品中含磷、硫、氟的特定有机化学品生产特别许可（初审）</w:t>
            </w:r>
          </w:p>
        </w:tc>
        <w:tc>
          <w:tcPr>
            <w:tcW w:w="1452" w:type="dxa"/>
            <w:vAlign w:val="center"/>
          </w:tcPr>
          <w:p w:rsidR="00D24C1C" w:rsidRDefault="00793B58">
            <w:pPr>
              <w:tabs>
                <w:tab w:val="left" w:pos="3577"/>
              </w:tabs>
            </w:pPr>
            <w:r>
              <w:rPr>
                <w:rFonts w:hint="eastAsia"/>
              </w:rPr>
              <w:t>省级工业和信息化部主管部门</w:t>
            </w:r>
          </w:p>
        </w:tc>
        <w:tc>
          <w:tcPr>
            <w:tcW w:w="1266" w:type="dxa"/>
            <w:vAlign w:val="center"/>
          </w:tcPr>
          <w:p w:rsidR="00D24C1C" w:rsidRDefault="00793B58">
            <w:pPr>
              <w:tabs>
                <w:tab w:val="left" w:pos="3577"/>
              </w:tabs>
            </w:pPr>
            <w:r>
              <w:rPr>
                <w:rFonts w:hint="eastAsia"/>
              </w:rPr>
              <w:t>直接取消审批</w:t>
            </w:r>
          </w:p>
        </w:tc>
        <w:tc>
          <w:tcPr>
            <w:tcW w:w="4409" w:type="dxa"/>
            <w:vAlign w:val="center"/>
          </w:tcPr>
          <w:p w:rsidR="00D24C1C" w:rsidRDefault="00793B58">
            <w:pPr>
              <w:tabs>
                <w:tab w:val="left" w:pos="3577"/>
              </w:tabs>
            </w:pPr>
            <w:r>
              <w:rPr>
                <w:rFonts w:hint="eastAsia"/>
              </w:rPr>
              <w:t>1.</w:t>
            </w:r>
            <w:r>
              <w:rPr>
                <w:rFonts w:hint="eastAsia"/>
              </w:rPr>
              <w:t>取消初审环节，“第二、三类监控化学品和第四类监控化学品中含磷、硫、氟的特定有机化学品生产特别许可”由省级工业和信息化主管部门初审、工业和信息化部审批，调整为省级工业和信息化主管部门直接审批。</w:t>
            </w:r>
          </w:p>
          <w:p w:rsidR="00D24C1C" w:rsidRDefault="00793B58">
            <w:pPr>
              <w:tabs>
                <w:tab w:val="left" w:pos="3577"/>
              </w:tabs>
            </w:pPr>
            <w:r>
              <w:rPr>
                <w:rFonts w:hint="eastAsia"/>
              </w:rPr>
              <w:t>2.</w:t>
            </w:r>
            <w:r>
              <w:rPr>
                <w:rFonts w:hint="eastAsia"/>
              </w:rPr>
              <w:t>修改监控化学品生产特别许可申请表、监控化学品生产特别许可现场考核表，在申请材料中取消车间设备平面布置图，并调整相关的考核内容。</w:t>
            </w:r>
          </w:p>
          <w:p w:rsidR="00D24C1C" w:rsidRDefault="00793B58">
            <w:r>
              <w:rPr>
                <w:rFonts w:hint="eastAsia"/>
              </w:rPr>
              <w:t>3.</w:t>
            </w:r>
            <w:r>
              <w:rPr>
                <w:rFonts w:hint="eastAsia"/>
              </w:rPr>
              <w:t>使用工业和信息化部统一制定的</w:t>
            </w:r>
            <w:r>
              <w:rPr>
                <w:rFonts w:hint="eastAsia"/>
              </w:rPr>
              <w:t>监控化学品生产特别许可证书式样及生产特别许可审批结果备案表。</w:t>
            </w:r>
          </w:p>
          <w:p w:rsidR="00D24C1C" w:rsidRDefault="00793B58">
            <w:pPr>
              <w:pStyle w:val="a0"/>
              <w:ind w:left="0"/>
              <w:rPr>
                <w:lang w:eastAsia="zh-CN"/>
              </w:rPr>
            </w:pPr>
            <w:r>
              <w:rPr>
                <w:rFonts w:ascii="Times New Roman" w:hAnsi="Times New Roman" w:hint="eastAsia"/>
                <w:kern w:val="2"/>
                <w:sz w:val="21"/>
                <w:lang w:val="en-US" w:eastAsia="zh-CN"/>
              </w:rPr>
              <w:t>主要理由：</w:t>
            </w:r>
            <w:r>
              <w:rPr>
                <w:rFonts w:ascii="Times New Roman" w:hAnsi="Times New Roman" w:hint="eastAsia"/>
                <w:kern w:val="2"/>
                <w:sz w:val="21"/>
                <w:lang w:val="en-US" w:eastAsia="zh-CN"/>
              </w:rPr>
              <w:t>1.</w:t>
            </w:r>
            <w:r>
              <w:rPr>
                <w:rFonts w:ascii="Times New Roman" w:hAnsi="Times New Roman" w:hint="eastAsia"/>
                <w:kern w:val="2"/>
                <w:sz w:val="21"/>
                <w:lang w:val="en-US" w:eastAsia="zh-CN"/>
              </w:rPr>
              <w:t>改革</w:t>
            </w:r>
            <w:r>
              <w:rPr>
                <w:rFonts w:ascii="Times New Roman" w:hAnsi="Times New Roman" w:hint="eastAsia"/>
                <w:kern w:val="2"/>
                <w:sz w:val="21"/>
                <w:lang w:val="en-US" w:eastAsia="zh-CN"/>
              </w:rPr>
              <w:t>前，企业需要办理初审、复审两道</w:t>
            </w:r>
            <w:r>
              <w:rPr>
                <w:rFonts w:ascii="Times New Roman" w:hAnsi="Times New Roman" w:hint="eastAsia"/>
                <w:kern w:val="2"/>
                <w:sz w:val="21"/>
                <w:lang w:val="en-US" w:eastAsia="zh-CN"/>
              </w:rPr>
              <w:t>许可，取消一道</w:t>
            </w:r>
            <w:r>
              <w:rPr>
                <w:rFonts w:ascii="Times New Roman" w:hAnsi="Times New Roman" w:hint="eastAsia"/>
                <w:kern w:val="2"/>
                <w:sz w:val="21"/>
                <w:lang w:val="en-US" w:eastAsia="zh-CN"/>
              </w:rPr>
              <w:t>能</w:t>
            </w:r>
            <w:r>
              <w:rPr>
                <w:rFonts w:ascii="Times New Roman" w:hAnsi="Times New Roman" w:hint="eastAsia"/>
                <w:kern w:val="2"/>
                <w:sz w:val="21"/>
                <w:lang w:val="en-US" w:eastAsia="zh-CN"/>
              </w:rPr>
              <w:t>提高办证效率。</w:t>
            </w:r>
            <w:r>
              <w:rPr>
                <w:rFonts w:ascii="Times New Roman" w:hAnsi="Times New Roman" w:hint="eastAsia"/>
                <w:kern w:val="2"/>
                <w:sz w:val="21"/>
                <w:lang w:val="en-US" w:eastAsia="zh-CN"/>
              </w:rPr>
              <w:t>2.</w:t>
            </w:r>
            <w:r>
              <w:rPr>
                <w:rFonts w:ascii="Times New Roman" w:hAnsi="Times New Roman" w:hint="eastAsia"/>
                <w:kern w:val="2"/>
                <w:sz w:val="21"/>
                <w:lang w:val="en-US" w:eastAsia="zh-CN"/>
              </w:rPr>
              <w:t>取消该项许可后，仍通过省级工业和信息化主管部门的审批对企业经营条件进行审核把关。</w:t>
            </w:r>
          </w:p>
        </w:tc>
        <w:tc>
          <w:tcPr>
            <w:tcW w:w="4075" w:type="dxa"/>
            <w:vAlign w:val="center"/>
          </w:tcPr>
          <w:p w:rsidR="00D24C1C" w:rsidRDefault="00793B58">
            <w:pPr>
              <w:tabs>
                <w:tab w:val="left" w:pos="3577"/>
              </w:tabs>
            </w:pPr>
            <w:r>
              <w:rPr>
                <w:rFonts w:hint="eastAsia"/>
              </w:rPr>
              <w:t>1.</w:t>
            </w:r>
            <w:r>
              <w:rPr>
                <w:rFonts w:hint="eastAsia"/>
              </w:rPr>
              <w:t>根据监控化学品企业风险高低，分别组织对重点监管对象专项检查和对其他企业“双随机、一公开”监管，依法查处违法违规生产活动并公开“双随机、一公开”检查结果。</w:t>
            </w:r>
          </w:p>
          <w:p w:rsidR="00D24C1C" w:rsidRDefault="00793B58">
            <w:pPr>
              <w:tabs>
                <w:tab w:val="left" w:pos="3577"/>
              </w:tabs>
            </w:pPr>
            <w:r>
              <w:rPr>
                <w:rFonts w:hint="eastAsia"/>
              </w:rPr>
              <w:t>2.</w:t>
            </w:r>
            <w:r>
              <w:rPr>
                <w:rFonts w:hint="eastAsia"/>
              </w:rPr>
              <w:t>依法依规对失信主体开展失信惩戒。</w:t>
            </w:r>
          </w:p>
          <w:p w:rsidR="00D24C1C" w:rsidRDefault="00793B58">
            <w:pPr>
              <w:tabs>
                <w:tab w:val="left" w:pos="3577"/>
              </w:tabs>
            </w:pPr>
            <w:r>
              <w:rPr>
                <w:rFonts w:hint="eastAsia"/>
              </w:rPr>
              <w:t>3.</w:t>
            </w:r>
            <w:r>
              <w:rPr>
                <w:rFonts w:hint="eastAsia"/>
              </w:rPr>
              <w:t>省工业和信息化厅在颁发监控化学品生产特别许可证后</w:t>
            </w:r>
            <w:r>
              <w:rPr>
                <w:rFonts w:hint="eastAsia"/>
              </w:rPr>
              <w:t>30</w:t>
            </w:r>
            <w:r>
              <w:rPr>
                <w:rFonts w:hint="eastAsia"/>
              </w:rPr>
              <w:t>日内，将许可证号、有效期、许可范围、产能信息等审批结果报工业和信息化部备案。</w:t>
            </w:r>
          </w:p>
          <w:p w:rsidR="00D24C1C" w:rsidRDefault="00D24C1C">
            <w:pPr>
              <w:rPr>
                <w:rFonts w:ascii="Times New Roman" w:eastAsia="仿宋_GB2312" w:hAnsi="Times New Roman" w:cs="仿宋_GB2312"/>
                <w:sz w:val="24"/>
              </w:rPr>
            </w:pPr>
          </w:p>
        </w:tc>
        <w:tc>
          <w:tcPr>
            <w:tcW w:w="1725" w:type="dxa"/>
            <w:vAlign w:val="center"/>
          </w:tcPr>
          <w:p w:rsidR="00D24C1C" w:rsidRDefault="00793B58">
            <w:pPr>
              <w:rPr>
                <w:rFonts w:ascii="Times New Roman" w:eastAsia="仿宋_GB2312" w:hAnsi="Times New Roman" w:cs="仿宋_GB2312"/>
                <w:sz w:val="24"/>
              </w:rPr>
            </w:pPr>
            <w:r>
              <w:rPr>
                <w:rFonts w:ascii="宋体" w:hAnsi="宋体" w:cs="宋体" w:hint="eastAsia"/>
                <w:szCs w:val="21"/>
              </w:rPr>
              <w:t>省市县三级工业和信息化部门依法实施监督检查，省级工业和信息化部门依法实施行政处罚</w:t>
            </w:r>
          </w:p>
        </w:tc>
      </w:tr>
      <w:tr w:rsidR="00D24C1C">
        <w:trPr>
          <w:trHeight w:hRule="exact" w:val="3415"/>
        </w:trPr>
        <w:tc>
          <w:tcPr>
            <w:tcW w:w="765" w:type="dxa"/>
            <w:vAlign w:val="center"/>
          </w:tcPr>
          <w:p w:rsidR="00D24C1C" w:rsidRDefault="00793B58">
            <w:pPr>
              <w:jc w:val="center"/>
              <w:rPr>
                <w:rFonts w:eastAsia="仿宋_GB2312" w:cs="仿宋_GB2312"/>
                <w:sz w:val="24"/>
              </w:rPr>
            </w:pPr>
            <w:r>
              <w:rPr>
                <w:rFonts w:eastAsia="仿宋_GB2312" w:cs="仿宋_GB2312" w:hint="eastAsia"/>
                <w:sz w:val="24"/>
              </w:rPr>
              <w:lastRenderedPageBreak/>
              <w:t>2</w:t>
            </w:r>
          </w:p>
        </w:tc>
        <w:tc>
          <w:tcPr>
            <w:tcW w:w="1452" w:type="dxa"/>
            <w:vAlign w:val="center"/>
          </w:tcPr>
          <w:p w:rsidR="00D24C1C" w:rsidRDefault="00793B58">
            <w:pPr>
              <w:tabs>
                <w:tab w:val="left" w:pos="3577"/>
              </w:tabs>
            </w:pPr>
            <w:r>
              <w:rPr>
                <w:rFonts w:hint="eastAsia"/>
              </w:rPr>
              <w:t>第二类武器装备科研生产许可（初审）</w:t>
            </w:r>
          </w:p>
        </w:tc>
        <w:tc>
          <w:tcPr>
            <w:tcW w:w="1452" w:type="dxa"/>
            <w:vAlign w:val="center"/>
          </w:tcPr>
          <w:p w:rsidR="00D24C1C" w:rsidRDefault="00793B58">
            <w:pPr>
              <w:tabs>
                <w:tab w:val="left" w:pos="3577"/>
              </w:tabs>
            </w:pPr>
            <w:r>
              <w:rPr>
                <w:rFonts w:hint="eastAsia"/>
              </w:rPr>
              <w:t>省级国防科技工业主管部门</w:t>
            </w:r>
          </w:p>
        </w:tc>
        <w:tc>
          <w:tcPr>
            <w:tcW w:w="1266" w:type="dxa"/>
            <w:vAlign w:val="center"/>
          </w:tcPr>
          <w:p w:rsidR="00D24C1C" w:rsidRDefault="00793B58">
            <w:pPr>
              <w:tabs>
                <w:tab w:val="left" w:pos="3577"/>
              </w:tabs>
            </w:pPr>
            <w:r>
              <w:rPr>
                <w:rFonts w:hint="eastAsia"/>
              </w:rPr>
              <w:t>直接取消审批</w:t>
            </w:r>
          </w:p>
        </w:tc>
        <w:tc>
          <w:tcPr>
            <w:tcW w:w="4409" w:type="dxa"/>
            <w:vAlign w:val="center"/>
          </w:tcPr>
          <w:p w:rsidR="00D24C1C" w:rsidRDefault="00793B58">
            <w:pPr>
              <w:tabs>
                <w:tab w:val="left" w:pos="3577"/>
              </w:tabs>
            </w:pPr>
            <w:r>
              <w:rPr>
                <w:rFonts w:hint="eastAsia"/>
              </w:rPr>
              <w:t>取消省级国防科技工业部门实施的“第二类武器装备科研生产许可（初审）”，申请人直接向国家国防科工局提出申请。</w:t>
            </w:r>
            <w:r>
              <w:rPr>
                <w:rFonts w:hint="eastAsia"/>
              </w:rPr>
              <w:br/>
            </w:r>
            <w:r>
              <w:rPr>
                <w:rFonts w:hint="eastAsia"/>
              </w:rPr>
              <w:t>主要理由：</w:t>
            </w:r>
            <w:r>
              <w:rPr>
                <w:rFonts w:hint="eastAsia"/>
              </w:rPr>
              <w:t>1.</w:t>
            </w:r>
            <w:r>
              <w:rPr>
                <w:rFonts w:hint="eastAsia"/>
              </w:rPr>
              <w:t>改革前，企业需要办理初审、复审两道许可，可取消一道，提高办证效率。</w:t>
            </w:r>
            <w:r>
              <w:rPr>
                <w:rFonts w:hint="eastAsia"/>
              </w:rPr>
              <w:t>2.</w:t>
            </w:r>
            <w:r>
              <w:rPr>
                <w:rFonts w:hint="eastAsia"/>
              </w:rPr>
              <w:t>取消初审后，通过国防科工局实施的第二类武器装备科研生产许可对企业经营条件进行审核把关，风险可控。</w:t>
            </w:r>
          </w:p>
        </w:tc>
        <w:tc>
          <w:tcPr>
            <w:tcW w:w="4075" w:type="dxa"/>
            <w:vAlign w:val="center"/>
          </w:tcPr>
          <w:p w:rsidR="00D24C1C" w:rsidRDefault="00793B58">
            <w:pPr>
              <w:tabs>
                <w:tab w:val="left" w:pos="3577"/>
              </w:tabs>
            </w:pPr>
            <w:r>
              <w:rPr>
                <w:rFonts w:hint="eastAsia"/>
              </w:rPr>
              <w:t>1.</w:t>
            </w:r>
            <w:r>
              <w:rPr>
                <w:rFonts w:hint="eastAsia"/>
              </w:rPr>
              <w:t>开展“双随机、一公开”监管、跨部门联合监管等，发现问题及时依法处理。</w:t>
            </w:r>
          </w:p>
          <w:p w:rsidR="00D24C1C" w:rsidRDefault="00793B58">
            <w:pPr>
              <w:tabs>
                <w:tab w:val="left" w:pos="3577"/>
              </w:tabs>
            </w:pPr>
            <w:r>
              <w:rPr>
                <w:rFonts w:hint="eastAsia"/>
              </w:rPr>
              <w:t>2.</w:t>
            </w:r>
            <w:r>
              <w:rPr>
                <w:rFonts w:hint="eastAsia"/>
              </w:rPr>
              <w:t>依法及时处理投诉举报。</w:t>
            </w:r>
          </w:p>
          <w:p w:rsidR="00D24C1C" w:rsidRDefault="00793B58">
            <w:pPr>
              <w:tabs>
                <w:tab w:val="left" w:pos="3577"/>
              </w:tabs>
            </w:pPr>
            <w:r>
              <w:rPr>
                <w:rFonts w:hint="eastAsia"/>
              </w:rPr>
              <w:t>3.</w:t>
            </w:r>
            <w:r>
              <w:rPr>
                <w:rFonts w:hint="eastAsia"/>
              </w:rPr>
              <w:t>强化信用约束，对弄虚作假、提供假冒伪劣产品等严重失信的企事业单位，依法依规将其列入失信黑名单并通报。</w:t>
            </w:r>
          </w:p>
          <w:p w:rsidR="00D24C1C" w:rsidRDefault="00793B58">
            <w:pPr>
              <w:tabs>
                <w:tab w:val="left" w:pos="3577"/>
              </w:tabs>
            </w:pPr>
            <w:r>
              <w:rPr>
                <w:rFonts w:hint="eastAsia"/>
              </w:rPr>
              <w:t>4.</w:t>
            </w:r>
            <w:r>
              <w:rPr>
                <w:rFonts w:hint="eastAsia"/>
              </w:rPr>
              <w:t>强化属地管理，地方国防科技工业部门对本行政区域内从事生产活动的单位加强监管。</w:t>
            </w:r>
          </w:p>
        </w:tc>
        <w:tc>
          <w:tcPr>
            <w:tcW w:w="1725" w:type="dxa"/>
            <w:vAlign w:val="center"/>
          </w:tcPr>
          <w:p w:rsidR="00D24C1C" w:rsidRDefault="00793B58">
            <w:pPr>
              <w:tabs>
                <w:tab w:val="left" w:pos="3577"/>
              </w:tabs>
            </w:pPr>
            <w:r>
              <w:rPr>
                <w:rFonts w:hint="eastAsia"/>
              </w:rPr>
              <w:t>省市县三级国防科技工业主管部门</w:t>
            </w:r>
          </w:p>
        </w:tc>
      </w:tr>
      <w:tr w:rsidR="00D24C1C">
        <w:trPr>
          <w:trHeight w:hRule="exact" w:val="2927"/>
        </w:trPr>
        <w:tc>
          <w:tcPr>
            <w:tcW w:w="765" w:type="dxa"/>
            <w:vAlign w:val="center"/>
          </w:tcPr>
          <w:p w:rsidR="00D24C1C" w:rsidRDefault="00793B58">
            <w:pPr>
              <w:jc w:val="center"/>
              <w:rPr>
                <w:rFonts w:eastAsia="仿宋_GB2312" w:cs="仿宋_GB2312"/>
                <w:sz w:val="24"/>
              </w:rPr>
            </w:pPr>
            <w:r>
              <w:rPr>
                <w:rFonts w:eastAsia="仿宋_GB2312" w:cs="仿宋_GB2312" w:hint="eastAsia"/>
                <w:sz w:val="24"/>
              </w:rPr>
              <w:t>3</w:t>
            </w:r>
          </w:p>
        </w:tc>
        <w:tc>
          <w:tcPr>
            <w:tcW w:w="1452" w:type="dxa"/>
            <w:vAlign w:val="center"/>
          </w:tcPr>
          <w:p w:rsidR="00D24C1C" w:rsidRDefault="00793B58">
            <w:pPr>
              <w:tabs>
                <w:tab w:val="left" w:pos="3577"/>
              </w:tabs>
            </w:pPr>
            <w:r>
              <w:rPr>
                <w:rFonts w:hint="eastAsia"/>
              </w:rPr>
              <w:t>三级国防计量技术机构设置审批</w:t>
            </w:r>
          </w:p>
        </w:tc>
        <w:tc>
          <w:tcPr>
            <w:tcW w:w="1452" w:type="dxa"/>
            <w:vAlign w:val="center"/>
          </w:tcPr>
          <w:p w:rsidR="00D24C1C" w:rsidRDefault="00793B58">
            <w:pPr>
              <w:tabs>
                <w:tab w:val="left" w:pos="3577"/>
              </w:tabs>
            </w:pPr>
            <w:r>
              <w:rPr>
                <w:rFonts w:hint="eastAsia"/>
              </w:rPr>
              <w:t>省级国防科技工业主管部门</w:t>
            </w:r>
          </w:p>
        </w:tc>
        <w:tc>
          <w:tcPr>
            <w:tcW w:w="1266" w:type="dxa"/>
            <w:vAlign w:val="center"/>
          </w:tcPr>
          <w:p w:rsidR="00D24C1C" w:rsidRDefault="00793B58">
            <w:pPr>
              <w:tabs>
                <w:tab w:val="left" w:pos="3577"/>
              </w:tabs>
            </w:pPr>
            <w:r>
              <w:rPr>
                <w:rFonts w:hint="eastAsia"/>
              </w:rPr>
              <w:t>直接取消审批</w:t>
            </w:r>
          </w:p>
        </w:tc>
        <w:tc>
          <w:tcPr>
            <w:tcW w:w="4409" w:type="dxa"/>
            <w:vAlign w:val="center"/>
          </w:tcPr>
          <w:p w:rsidR="00D24C1C" w:rsidRDefault="00793B58">
            <w:pPr>
              <w:tabs>
                <w:tab w:val="left" w:pos="3577"/>
              </w:tabs>
            </w:pPr>
            <w:r>
              <w:rPr>
                <w:rFonts w:hint="eastAsia"/>
              </w:rPr>
              <w:t>将国防计量技术机构资质由三级调整为两级，将二级资质的许可条件调整为目前三级资质的许可条件。</w:t>
            </w:r>
            <w:r>
              <w:rPr>
                <w:rFonts w:hint="eastAsia"/>
              </w:rPr>
              <w:br/>
            </w:r>
            <w:r>
              <w:rPr>
                <w:rFonts w:hint="eastAsia"/>
              </w:rPr>
              <w:t>主要理由：</w:t>
            </w:r>
            <w:r>
              <w:rPr>
                <w:rFonts w:hint="eastAsia"/>
              </w:rPr>
              <w:t>1.</w:t>
            </w:r>
            <w:r>
              <w:rPr>
                <w:rFonts w:hint="eastAsia"/>
              </w:rPr>
              <w:t>将三级资</w:t>
            </w:r>
            <w:r>
              <w:rPr>
                <w:rFonts w:hint="eastAsia"/>
              </w:rPr>
              <w:t>质简并为两级，可减少企业申请资质次数，减轻办事负担，同时促进行业良性竞争。</w:t>
            </w:r>
            <w:r>
              <w:rPr>
                <w:rFonts w:hint="eastAsia"/>
              </w:rPr>
              <w:t>2.</w:t>
            </w:r>
            <w:r>
              <w:rPr>
                <w:rFonts w:hint="eastAsia"/>
              </w:rPr>
              <w:t>改革后，企业仍需申办资质才可开展经营活动，安全风险可控。</w:t>
            </w:r>
          </w:p>
        </w:tc>
        <w:tc>
          <w:tcPr>
            <w:tcW w:w="4075" w:type="dxa"/>
            <w:vAlign w:val="center"/>
          </w:tcPr>
          <w:p w:rsidR="00D24C1C" w:rsidRDefault="00793B58">
            <w:pPr>
              <w:tabs>
                <w:tab w:val="left" w:pos="3577"/>
              </w:tabs>
            </w:pPr>
            <w:r>
              <w:rPr>
                <w:rFonts w:hint="eastAsia"/>
              </w:rPr>
              <w:t>1.</w:t>
            </w:r>
            <w:r>
              <w:rPr>
                <w:rFonts w:hint="eastAsia"/>
              </w:rPr>
              <w:t>及时修订相关管理规定，进一步规范技术机构履职行为，明确监管措施要求。</w:t>
            </w:r>
          </w:p>
          <w:p w:rsidR="00D24C1C" w:rsidRDefault="00793B58">
            <w:pPr>
              <w:tabs>
                <w:tab w:val="left" w:pos="3577"/>
              </w:tabs>
            </w:pPr>
            <w:r>
              <w:rPr>
                <w:rFonts w:hint="eastAsia"/>
              </w:rPr>
              <w:t>2.</w:t>
            </w:r>
            <w:r>
              <w:rPr>
                <w:rFonts w:hint="eastAsia"/>
              </w:rPr>
              <w:t>开展“双随机、一公开”</w:t>
            </w:r>
            <w:r>
              <w:rPr>
                <w:rFonts w:hint="eastAsia"/>
              </w:rPr>
              <w:t xml:space="preserve"> </w:t>
            </w:r>
            <w:r>
              <w:rPr>
                <w:rFonts w:hint="eastAsia"/>
              </w:rPr>
              <w:t>监管，根据专业能力、履职表现，合理确定抽查比例和检查内容。</w:t>
            </w:r>
          </w:p>
          <w:p w:rsidR="00D24C1C" w:rsidRDefault="00793B58">
            <w:pPr>
              <w:tabs>
                <w:tab w:val="left" w:pos="3577"/>
              </w:tabs>
            </w:pPr>
            <w:r>
              <w:rPr>
                <w:rFonts w:hint="eastAsia"/>
              </w:rPr>
              <w:t>3.</w:t>
            </w:r>
            <w:r>
              <w:rPr>
                <w:rFonts w:hint="eastAsia"/>
              </w:rPr>
              <w:t>加强对军工计量领域的监测，补充完善短板弱项，确保技术机构能力满足科研生产需要。</w:t>
            </w:r>
          </w:p>
          <w:p w:rsidR="00D24C1C" w:rsidRDefault="00793B58">
            <w:pPr>
              <w:tabs>
                <w:tab w:val="left" w:pos="3577"/>
              </w:tabs>
            </w:pPr>
            <w:r>
              <w:rPr>
                <w:rFonts w:hint="eastAsia"/>
              </w:rPr>
              <w:t>4.</w:t>
            </w:r>
            <w:r>
              <w:rPr>
                <w:rFonts w:hint="eastAsia"/>
              </w:rPr>
              <w:t>依法及时处理投诉举报。</w:t>
            </w:r>
          </w:p>
        </w:tc>
        <w:tc>
          <w:tcPr>
            <w:tcW w:w="1725" w:type="dxa"/>
            <w:vAlign w:val="center"/>
          </w:tcPr>
          <w:p w:rsidR="00D24C1C" w:rsidRDefault="00793B58">
            <w:pPr>
              <w:tabs>
                <w:tab w:val="left" w:pos="3577"/>
              </w:tabs>
            </w:pPr>
            <w:r>
              <w:rPr>
                <w:rFonts w:hint="eastAsia"/>
              </w:rPr>
              <w:t>省市县三级国防科技工业主管部门</w:t>
            </w:r>
          </w:p>
        </w:tc>
      </w:tr>
      <w:tr w:rsidR="00D24C1C">
        <w:trPr>
          <w:trHeight w:hRule="exact" w:val="1985"/>
        </w:trPr>
        <w:tc>
          <w:tcPr>
            <w:tcW w:w="765" w:type="dxa"/>
            <w:vAlign w:val="center"/>
          </w:tcPr>
          <w:p w:rsidR="00D24C1C" w:rsidRDefault="00793B58">
            <w:pPr>
              <w:jc w:val="center"/>
              <w:rPr>
                <w:rFonts w:ascii="Times New Roman" w:eastAsia="仿宋_GB2312" w:hAnsi="Times New Roman" w:cs="仿宋_GB2312"/>
                <w:sz w:val="24"/>
              </w:rPr>
            </w:pPr>
            <w:r>
              <w:rPr>
                <w:rFonts w:eastAsia="仿宋_GB2312" w:cs="仿宋_GB2312" w:hint="eastAsia"/>
                <w:sz w:val="24"/>
              </w:rPr>
              <w:lastRenderedPageBreak/>
              <w:t>4</w:t>
            </w:r>
          </w:p>
        </w:tc>
        <w:tc>
          <w:tcPr>
            <w:tcW w:w="1452" w:type="dxa"/>
            <w:vAlign w:val="center"/>
          </w:tcPr>
          <w:p w:rsidR="00D24C1C" w:rsidRDefault="00793B58">
            <w:pPr>
              <w:rPr>
                <w:rFonts w:ascii="宋体" w:hAnsi="宋体" w:cs="宋体"/>
                <w:szCs w:val="21"/>
              </w:rPr>
            </w:pPr>
            <w:r>
              <w:rPr>
                <w:rFonts w:ascii="宋体" w:hAnsi="宋体" w:cs="宋体" w:hint="eastAsia"/>
                <w:szCs w:val="21"/>
              </w:rPr>
              <w:t>食盐定点批发企业审批</w:t>
            </w:r>
          </w:p>
        </w:tc>
        <w:tc>
          <w:tcPr>
            <w:tcW w:w="1452" w:type="dxa"/>
            <w:vAlign w:val="center"/>
          </w:tcPr>
          <w:p w:rsidR="00D24C1C" w:rsidRDefault="00793B58">
            <w:pPr>
              <w:rPr>
                <w:rFonts w:ascii="宋体" w:hAnsi="宋体" w:cs="宋体"/>
                <w:szCs w:val="21"/>
              </w:rPr>
            </w:pPr>
            <w:r>
              <w:rPr>
                <w:rFonts w:ascii="宋体" w:hAnsi="宋体" w:cs="宋体" w:hint="eastAsia"/>
                <w:szCs w:val="21"/>
              </w:rPr>
              <w:t>省级盐业部门</w:t>
            </w:r>
          </w:p>
        </w:tc>
        <w:tc>
          <w:tcPr>
            <w:tcW w:w="1266" w:type="dxa"/>
            <w:vAlign w:val="center"/>
          </w:tcPr>
          <w:p w:rsidR="00D24C1C" w:rsidRDefault="00793B58">
            <w:pPr>
              <w:rPr>
                <w:rFonts w:ascii="宋体" w:hAnsi="宋体" w:cs="宋体"/>
                <w:szCs w:val="21"/>
              </w:rPr>
            </w:pPr>
            <w:r>
              <w:rPr>
                <w:rFonts w:ascii="宋体" w:hAnsi="宋体" w:cs="宋体" w:hint="eastAsia"/>
                <w:szCs w:val="21"/>
              </w:rPr>
              <w:t>优化审批服务</w:t>
            </w:r>
          </w:p>
        </w:tc>
        <w:tc>
          <w:tcPr>
            <w:tcW w:w="4409" w:type="dxa"/>
            <w:vAlign w:val="center"/>
          </w:tcPr>
          <w:p w:rsidR="00D24C1C" w:rsidRDefault="00793B58">
            <w:pPr>
              <w:rPr>
                <w:rFonts w:ascii="宋体" w:hAnsi="宋体" w:cs="宋体"/>
                <w:szCs w:val="21"/>
              </w:rPr>
            </w:pPr>
            <w:r>
              <w:rPr>
                <w:rFonts w:ascii="宋体" w:hAnsi="宋体" w:cs="宋体" w:hint="eastAsia"/>
                <w:szCs w:val="21"/>
              </w:rPr>
              <w:t>1.</w:t>
            </w:r>
            <w:r>
              <w:rPr>
                <w:rFonts w:ascii="宋体" w:hAnsi="宋体" w:cs="宋体" w:hint="eastAsia"/>
                <w:szCs w:val="21"/>
              </w:rPr>
              <w:t>不再要求申请人提供营业执照复印件等材料。</w:t>
            </w:r>
          </w:p>
          <w:p w:rsidR="00D24C1C" w:rsidRDefault="00793B58">
            <w:pPr>
              <w:rPr>
                <w:rFonts w:ascii="宋体" w:hAnsi="宋体" w:cs="宋体"/>
                <w:szCs w:val="21"/>
              </w:rPr>
            </w:pPr>
            <w:r>
              <w:rPr>
                <w:rFonts w:ascii="宋体" w:hAnsi="宋体" w:cs="宋体" w:hint="eastAsia"/>
                <w:szCs w:val="21"/>
              </w:rPr>
              <w:t>2.</w:t>
            </w:r>
            <w:r>
              <w:rPr>
                <w:rFonts w:ascii="宋体" w:hAnsi="宋体" w:cs="宋体" w:hint="eastAsia"/>
                <w:szCs w:val="21"/>
              </w:rPr>
              <w:t>将省级盐业主管部门</w:t>
            </w:r>
            <w:r>
              <w:rPr>
                <w:rFonts w:ascii="宋体" w:hAnsi="宋体" w:cs="宋体" w:hint="eastAsia"/>
                <w:szCs w:val="21"/>
              </w:rPr>
              <w:t>的审批时限由</w:t>
            </w:r>
            <w:r>
              <w:rPr>
                <w:rFonts w:ascii="宋体" w:hAnsi="宋体" w:cs="宋体" w:hint="eastAsia"/>
                <w:szCs w:val="21"/>
              </w:rPr>
              <w:t>20</w:t>
            </w:r>
            <w:r>
              <w:rPr>
                <w:rFonts w:ascii="宋体" w:hAnsi="宋体" w:cs="宋体" w:hint="eastAsia"/>
                <w:szCs w:val="21"/>
              </w:rPr>
              <w:t>个工作日</w:t>
            </w:r>
            <w:r>
              <w:rPr>
                <w:rFonts w:ascii="宋体" w:hAnsi="宋体" w:cs="宋体" w:hint="eastAsia"/>
                <w:szCs w:val="21"/>
              </w:rPr>
              <w:t>压减至</w:t>
            </w:r>
            <w:r>
              <w:rPr>
                <w:rFonts w:ascii="宋体" w:hAnsi="宋体" w:cs="宋体" w:hint="eastAsia"/>
                <w:szCs w:val="21"/>
              </w:rPr>
              <w:t>15</w:t>
            </w:r>
            <w:r>
              <w:rPr>
                <w:rFonts w:ascii="宋体" w:hAnsi="宋体" w:cs="宋体" w:hint="eastAsia"/>
                <w:szCs w:val="21"/>
              </w:rPr>
              <w:t>个工作日。</w:t>
            </w:r>
          </w:p>
        </w:tc>
        <w:tc>
          <w:tcPr>
            <w:tcW w:w="4075" w:type="dxa"/>
            <w:vAlign w:val="center"/>
          </w:tcPr>
          <w:p w:rsidR="00D24C1C" w:rsidRDefault="00793B58">
            <w:pPr>
              <w:widowControl/>
              <w:textAlignment w:val="center"/>
              <w:rPr>
                <w:rFonts w:ascii="宋体" w:hAnsi="宋体" w:cs="宋体"/>
                <w:szCs w:val="21"/>
              </w:rPr>
            </w:pPr>
            <w:r>
              <w:rPr>
                <w:rFonts w:ascii="宋体" w:hAnsi="宋体" w:cs="宋体" w:hint="eastAsia"/>
                <w:szCs w:val="21"/>
              </w:rPr>
              <w:t>1.</w:t>
            </w:r>
            <w:r>
              <w:rPr>
                <w:rFonts w:ascii="宋体" w:hAnsi="宋体" w:cs="宋体" w:hint="eastAsia"/>
                <w:szCs w:val="21"/>
              </w:rPr>
              <w:t>严格执行有关法律法规和标准，对食盐定点批发企业加强监管</w:t>
            </w:r>
            <w:r>
              <w:rPr>
                <w:rFonts w:ascii="宋体" w:hAnsi="宋体" w:cs="宋体" w:hint="eastAsia"/>
                <w:szCs w:val="21"/>
              </w:rPr>
              <w:t>。</w:t>
            </w:r>
          </w:p>
          <w:p w:rsidR="00D24C1C" w:rsidRDefault="00793B58">
            <w:pPr>
              <w:widowControl/>
              <w:textAlignment w:val="center"/>
              <w:rPr>
                <w:rFonts w:ascii="宋体" w:hAnsi="宋体" w:cs="宋体"/>
                <w:szCs w:val="21"/>
              </w:rPr>
            </w:pPr>
            <w:r>
              <w:rPr>
                <w:rFonts w:ascii="宋体" w:hAnsi="宋体" w:cs="宋体" w:hint="eastAsia"/>
                <w:szCs w:val="21"/>
              </w:rPr>
              <w:t>2.</w:t>
            </w:r>
            <w:r>
              <w:rPr>
                <w:rFonts w:ascii="宋体" w:hAnsi="宋体" w:cs="宋体" w:hint="eastAsia"/>
                <w:szCs w:val="21"/>
              </w:rPr>
              <w:t>加强信用监管，依法向社会公布食盐定点批发企业信用状况，依法依规开展失信惩戒。</w:t>
            </w:r>
          </w:p>
        </w:tc>
        <w:tc>
          <w:tcPr>
            <w:tcW w:w="1725" w:type="dxa"/>
            <w:vAlign w:val="center"/>
          </w:tcPr>
          <w:p w:rsidR="00D24C1C" w:rsidRDefault="00793B58">
            <w:pPr>
              <w:widowControl/>
              <w:textAlignment w:val="center"/>
              <w:rPr>
                <w:rFonts w:ascii="宋体" w:hAnsi="宋体" w:cs="宋体"/>
                <w:szCs w:val="21"/>
              </w:rPr>
            </w:pPr>
            <w:r>
              <w:rPr>
                <w:rFonts w:ascii="宋体" w:hAnsi="宋体" w:cs="宋体" w:hint="eastAsia"/>
                <w:szCs w:val="21"/>
              </w:rPr>
              <w:t>省市县三级食盐专营监管部门</w:t>
            </w:r>
          </w:p>
        </w:tc>
      </w:tr>
      <w:tr w:rsidR="00D24C1C">
        <w:trPr>
          <w:trHeight w:hRule="exact" w:val="2135"/>
        </w:trPr>
        <w:tc>
          <w:tcPr>
            <w:tcW w:w="765" w:type="dxa"/>
            <w:vAlign w:val="center"/>
          </w:tcPr>
          <w:p w:rsidR="00D24C1C" w:rsidRDefault="00793B58">
            <w:pPr>
              <w:jc w:val="center"/>
              <w:rPr>
                <w:rFonts w:ascii="Times New Roman" w:eastAsia="仿宋_GB2312" w:hAnsi="Times New Roman" w:cs="仿宋_GB2312"/>
                <w:sz w:val="24"/>
              </w:rPr>
            </w:pPr>
            <w:r>
              <w:rPr>
                <w:rFonts w:eastAsia="仿宋_GB2312" w:cs="仿宋_GB2312" w:hint="eastAsia"/>
                <w:sz w:val="24"/>
              </w:rPr>
              <w:t>5</w:t>
            </w:r>
          </w:p>
        </w:tc>
        <w:tc>
          <w:tcPr>
            <w:tcW w:w="1452" w:type="dxa"/>
            <w:vAlign w:val="center"/>
          </w:tcPr>
          <w:p w:rsidR="00D24C1C" w:rsidRDefault="00793B58">
            <w:pPr>
              <w:rPr>
                <w:rFonts w:ascii="宋体" w:hAnsi="宋体" w:cs="宋体"/>
                <w:szCs w:val="21"/>
              </w:rPr>
            </w:pPr>
            <w:r>
              <w:rPr>
                <w:rFonts w:ascii="宋体" w:hAnsi="宋体" w:cs="宋体" w:hint="eastAsia"/>
                <w:szCs w:val="21"/>
              </w:rPr>
              <w:t>食盐定点生产企业审批</w:t>
            </w:r>
          </w:p>
        </w:tc>
        <w:tc>
          <w:tcPr>
            <w:tcW w:w="1452" w:type="dxa"/>
            <w:vAlign w:val="center"/>
          </w:tcPr>
          <w:p w:rsidR="00D24C1C" w:rsidRDefault="00793B58">
            <w:pPr>
              <w:rPr>
                <w:rFonts w:ascii="宋体" w:hAnsi="宋体" w:cs="宋体"/>
                <w:szCs w:val="21"/>
              </w:rPr>
            </w:pPr>
            <w:r>
              <w:rPr>
                <w:rFonts w:ascii="宋体" w:hAnsi="宋体" w:cs="宋体" w:hint="eastAsia"/>
                <w:szCs w:val="21"/>
              </w:rPr>
              <w:t>省级盐业部门</w:t>
            </w:r>
          </w:p>
        </w:tc>
        <w:tc>
          <w:tcPr>
            <w:tcW w:w="1266" w:type="dxa"/>
            <w:vAlign w:val="center"/>
          </w:tcPr>
          <w:p w:rsidR="00D24C1C" w:rsidRDefault="00793B58">
            <w:pPr>
              <w:rPr>
                <w:rFonts w:ascii="宋体" w:hAnsi="宋体" w:cs="宋体"/>
                <w:szCs w:val="21"/>
              </w:rPr>
            </w:pPr>
            <w:r>
              <w:rPr>
                <w:rFonts w:ascii="宋体" w:hAnsi="宋体" w:cs="宋体" w:hint="eastAsia"/>
                <w:szCs w:val="21"/>
              </w:rPr>
              <w:t>优化审批服务</w:t>
            </w:r>
          </w:p>
        </w:tc>
        <w:tc>
          <w:tcPr>
            <w:tcW w:w="4409" w:type="dxa"/>
            <w:vAlign w:val="center"/>
          </w:tcPr>
          <w:p w:rsidR="00D24C1C" w:rsidRDefault="00793B58">
            <w:pPr>
              <w:rPr>
                <w:rFonts w:ascii="宋体" w:hAnsi="宋体" w:cs="宋体"/>
                <w:szCs w:val="21"/>
              </w:rPr>
            </w:pPr>
            <w:r>
              <w:rPr>
                <w:rFonts w:ascii="宋体" w:hAnsi="宋体" w:cs="宋体" w:hint="eastAsia"/>
                <w:szCs w:val="21"/>
              </w:rPr>
              <w:t>1.</w:t>
            </w:r>
            <w:r>
              <w:rPr>
                <w:rFonts w:ascii="宋体" w:hAnsi="宋体" w:cs="宋体" w:hint="eastAsia"/>
                <w:szCs w:val="21"/>
              </w:rPr>
              <w:t>不再要求申请人提供营业执照复印件等材料。</w:t>
            </w:r>
          </w:p>
          <w:p w:rsidR="00D24C1C" w:rsidRDefault="00793B58">
            <w:pPr>
              <w:rPr>
                <w:rFonts w:ascii="宋体" w:hAnsi="宋体" w:cs="宋体"/>
                <w:szCs w:val="21"/>
              </w:rPr>
            </w:pPr>
            <w:r>
              <w:rPr>
                <w:rFonts w:ascii="宋体" w:hAnsi="宋体" w:cs="宋体" w:hint="eastAsia"/>
                <w:szCs w:val="21"/>
              </w:rPr>
              <w:t>2.</w:t>
            </w:r>
            <w:r>
              <w:rPr>
                <w:rFonts w:ascii="宋体" w:hAnsi="宋体" w:cs="宋体" w:hint="eastAsia"/>
                <w:szCs w:val="21"/>
              </w:rPr>
              <w:t>将省级盐业主管部门</w:t>
            </w:r>
            <w:r>
              <w:rPr>
                <w:rFonts w:ascii="宋体" w:hAnsi="宋体" w:cs="宋体" w:hint="eastAsia"/>
                <w:szCs w:val="21"/>
              </w:rPr>
              <w:t>的审批时限由</w:t>
            </w:r>
            <w:r>
              <w:rPr>
                <w:rFonts w:ascii="宋体" w:hAnsi="宋体" w:cs="宋体" w:hint="eastAsia"/>
                <w:szCs w:val="21"/>
              </w:rPr>
              <w:t>20</w:t>
            </w:r>
            <w:r>
              <w:rPr>
                <w:rFonts w:ascii="宋体" w:hAnsi="宋体" w:cs="宋体" w:hint="eastAsia"/>
                <w:szCs w:val="21"/>
              </w:rPr>
              <w:t>个工作日</w:t>
            </w:r>
            <w:r>
              <w:rPr>
                <w:rFonts w:ascii="宋体" w:hAnsi="宋体" w:cs="宋体" w:hint="eastAsia"/>
                <w:szCs w:val="21"/>
              </w:rPr>
              <w:t>压减至</w:t>
            </w:r>
            <w:r>
              <w:rPr>
                <w:rFonts w:ascii="宋体" w:hAnsi="宋体" w:cs="宋体" w:hint="eastAsia"/>
                <w:szCs w:val="21"/>
              </w:rPr>
              <w:t>15</w:t>
            </w:r>
            <w:r>
              <w:rPr>
                <w:rFonts w:ascii="宋体" w:hAnsi="宋体" w:cs="宋体" w:hint="eastAsia"/>
                <w:szCs w:val="21"/>
              </w:rPr>
              <w:t>个工作日。</w:t>
            </w:r>
          </w:p>
        </w:tc>
        <w:tc>
          <w:tcPr>
            <w:tcW w:w="4075" w:type="dxa"/>
            <w:vAlign w:val="center"/>
          </w:tcPr>
          <w:p w:rsidR="00D24C1C" w:rsidRDefault="00793B58">
            <w:pPr>
              <w:rPr>
                <w:rFonts w:ascii="宋体" w:hAnsi="宋体" w:cs="宋体"/>
                <w:szCs w:val="21"/>
              </w:rPr>
            </w:pPr>
            <w:r>
              <w:rPr>
                <w:rFonts w:ascii="宋体" w:hAnsi="宋体" w:cs="宋体" w:hint="eastAsia"/>
                <w:szCs w:val="21"/>
              </w:rPr>
              <w:t>1.</w:t>
            </w:r>
            <w:r>
              <w:rPr>
                <w:rFonts w:ascii="宋体" w:hAnsi="宋体" w:cs="宋体" w:hint="eastAsia"/>
                <w:szCs w:val="21"/>
              </w:rPr>
              <w:t>严格执行有关法律法规和标准，对食盐定点生产企业加强监管。</w:t>
            </w:r>
          </w:p>
          <w:p w:rsidR="00D24C1C" w:rsidRDefault="00793B58">
            <w:pPr>
              <w:rPr>
                <w:rFonts w:ascii="宋体" w:hAnsi="宋体" w:cs="宋体"/>
                <w:szCs w:val="21"/>
              </w:rPr>
            </w:pPr>
            <w:r>
              <w:rPr>
                <w:rFonts w:ascii="宋体" w:hAnsi="宋体" w:cs="宋体" w:hint="eastAsia"/>
                <w:szCs w:val="21"/>
              </w:rPr>
              <w:t>2.</w:t>
            </w:r>
            <w:r>
              <w:rPr>
                <w:rFonts w:ascii="宋体" w:hAnsi="宋体" w:cs="宋体" w:hint="eastAsia"/>
                <w:szCs w:val="21"/>
              </w:rPr>
              <w:t>加强信用监管，依法向社会公布食盐定点生产企业信用状况，依法依规开展失信惩戒。</w:t>
            </w:r>
          </w:p>
        </w:tc>
        <w:tc>
          <w:tcPr>
            <w:tcW w:w="1725" w:type="dxa"/>
            <w:vAlign w:val="center"/>
          </w:tcPr>
          <w:p w:rsidR="00D24C1C" w:rsidRDefault="00793B58">
            <w:pPr>
              <w:rPr>
                <w:rFonts w:ascii="宋体" w:hAnsi="宋体" w:cs="宋体"/>
                <w:szCs w:val="21"/>
              </w:rPr>
            </w:pPr>
            <w:r>
              <w:rPr>
                <w:rFonts w:ascii="宋体" w:hAnsi="宋体" w:cs="宋体" w:hint="eastAsia"/>
                <w:szCs w:val="21"/>
              </w:rPr>
              <w:t>省市县三级食盐专营监管部门</w:t>
            </w:r>
          </w:p>
        </w:tc>
      </w:tr>
      <w:tr w:rsidR="00D24C1C">
        <w:trPr>
          <w:trHeight w:hRule="exact" w:val="3640"/>
        </w:trPr>
        <w:tc>
          <w:tcPr>
            <w:tcW w:w="765" w:type="dxa"/>
            <w:vAlign w:val="center"/>
          </w:tcPr>
          <w:p w:rsidR="00D24C1C" w:rsidRDefault="00793B58">
            <w:pPr>
              <w:jc w:val="center"/>
              <w:rPr>
                <w:rFonts w:ascii="Times New Roman" w:eastAsia="仿宋_GB2312" w:hAnsi="Times New Roman" w:cs="仿宋_GB2312"/>
                <w:sz w:val="24"/>
              </w:rPr>
            </w:pPr>
            <w:r>
              <w:rPr>
                <w:rFonts w:eastAsia="仿宋_GB2312" w:cs="仿宋_GB2312" w:hint="eastAsia"/>
                <w:sz w:val="24"/>
              </w:rPr>
              <w:t>6</w:t>
            </w:r>
          </w:p>
        </w:tc>
        <w:tc>
          <w:tcPr>
            <w:tcW w:w="1452" w:type="dxa"/>
            <w:vAlign w:val="center"/>
          </w:tcPr>
          <w:p w:rsidR="00D24C1C" w:rsidRDefault="00793B58">
            <w:pPr>
              <w:rPr>
                <w:rFonts w:ascii="宋体" w:hAnsi="宋体" w:cs="宋体"/>
                <w:szCs w:val="21"/>
              </w:rPr>
            </w:pPr>
            <w:r>
              <w:rPr>
                <w:rFonts w:ascii="宋体" w:hAnsi="宋体" w:cs="宋体" w:hint="eastAsia"/>
                <w:szCs w:val="21"/>
              </w:rPr>
              <w:t>民用爆炸物品生产许可</w:t>
            </w:r>
          </w:p>
        </w:tc>
        <w:tc>
          <w:tcPr>
            <w:tcW w:w="1452" w:type="dxa"/>
            <w:vAlign w:val="center"/>
          </w:tcPr>
          <w:p w:rsidR="00D24C1C" w:rsidRDefault="00793B58">
            <w:pPr>
              <w:rPr>
                <w:rFonts w:ascii="宋体" w:hAnsi="宋体" w:cs="宋体"/>
                <w:szCs w:val="21"/>
              </w:rPr>
            </w:pPr>
            <w:r>
              <w:rPr>
                <w:rFonts w:ascii="宋体" w:hAnsi="宋体" w:cs="宋体" w:hint="eastAsia"/>
                <w:szCs w:val="21"/>
              </w:rPr>
              <w:t>工业和信息化部</w:t>
            </w:r>
          </w:p>
        </w:tc>
        <w:tc>
          <w:tcPr>
            <w:tcW w:w="1266" w:type="dxa"/>
            <w:vAlign w:val="center"/>
          </w:tcPr>
          <w:p w:rsidR="00D24C1C" w:rsidRDefault="00793B58">
            <w:pPr>
              <w:rPr>
                <w:rFonts w:ascii="宋体" w:hAnsi="宋体" w:cs="宋体"/>
                <w:szCs w:val="21"/>
              </w:rPr>
            </w:pPr>
            <w:r>
              <w:rPr>
                <w:rFonts w:ascii="宋体" w:hAnsi="宋体" w:cs="宋体" w:hint="eastAsia"/>
                <w:szCs w:val="21"/>
              </w:rPr>
              <w:t>优化审批服务</w:t>
            </w:r>
          </w:p>
        </w:tc>
        <w:tc>
          <w:tcPr>
            <w:tcW w:w="4409" w:type="dxa"/>
            <w:vAlign w:val="center"/>
          </w:tcPr>
          <w:p w:rsidR="00D24C1C" w:rsidRDefault="00793B58">
            <w:pPr>
              <w:rPr>
                <w:rFonts w:ascii="宋体" w:hAnsi="宋体" w:cs="宋体"/>
                <w:szCs w:val="21"/>
              </w:rPr>
            </w:pPr>
            <w:r>
              <w:rPr>
                <w:rFonts w:ascii="宋体" w:hAnsi="宋体" w:cs="宋体" w:hint="eastAsia"/>
                <w:szCs w:val="21"/>
              </w:rPr>
              <w:t>将</w:t>
            </w:r>
            <w:r>
              <w:rPr>
                <w:rFonts w:ascii="宋体" w:hAnsi="宋体" w:cs="宋体" w:hint="eastAsia"/>
                <w:szCs w:val="21"/>
              </w:rPr>
              <w:t>审批时限由</w:t>
            </w:r>
            <w:r>
              <w:rPr>
                <w:rFonts w:ascii="宋体" w:hAnsi="宋体" w:cs="宋体" w:hint="eastAsia"/>
                <w:szCs w:val="21"/>
              </w:rPr>
              <w:t>45</w:t>
            </w:r>
            <w:r>
              <w:rPr>
                <w:rFonts w:ascii="宋体" w:hAnsi="宋体" w:cs="宋体" w:hint="eastAsia"/>
                <w:szCs w:val="21"/>
              </w:rPr>
              <w:t>日压减至</w:t>
            </w:r>
            <w:r>
              <w:rPr>
                <w:rFonts w:ascii="宋体" w:hAnsi="宋体" w:cs="宋体" w:hint="eastAsia"/>
                <w:szCs w:val="21"/>
              </w:rPr>
              <w:t>30</w:t>
            </w:r>
            <w:r>
              <w:rPr>
                <w:rFonts w:ascii="宋体" w:hAnsi="宋体" w:cs="宋体" w:hint="eastAsia"/>
                <w:szCs w:val="21"/>
              </w:rPr>
              <w:t>日。</w:t>
            </w:r>
          </w:p>
        </w:tc>
        <w:tc>
          <w:tcPr>
            <w:tcW w:w="4075" w:type="dxa"/>
            <w:vAlign w:val="center"/>
          </w:tcPr>
          <w:p w:rsidR="00D24C1C" w:rsidRDefault="00793B58">
            <w:pPr>
              <w:rPr>
                <w:rFonts w:ascii="宋体" w:hAnsi="宋体" w:cs="宋体"/>
                <w:szCs w:val="21"/>
              </w:rPr>
            </w:pPr>
            <w:r>
              <w:rPr>
                <w:rFonts w:ascii="宋体" w:hAnsi="宋体" w:cs="宋体" w:hint="eastAsia"/>
                <w:szCs w:val="21"/>
              </w:rPr>
              <w:t>此事项由国家审批，省市县三级均有监管职责：</w:t>
            </w:r>
          </w:p>
          <w:p w:rsidR="00D24C1C" w:rsidRDefault="00793B58">
            <w:pPr>
              <w:rPr>
                <w:rFonts w:ascii="宋体" w:hAnsi="宋体" w:cs="宋体"/>
                <w:szCs w:val="21"/>
              </w:rPr>
            </w:pPr>
            <w:r>
              <w:rPr>
                <w:rFonts w:ascii="宋体" w:hAnsi="宋体" w:cs="宋体" w:hint="eastAsia"/>
                <w:szCs w:val="21"/>
              </w:rPr>
              <w:t>1.</w:t>
            </w:r>
            <w:r>
              <w:rPr>
                <w:rFonts w:ascii="宋体" w:hAnsi="宋体" w:cs="宋体" w:hint="eastAsia"/>
                <w:szCs w:val="21"/>
              </w:rPr>
              <w:t>加强行政执法，依法依规实行全覆盖监管，发现违法违规行为要依法查处并公开结果。</w:t>
            </w:r>
          </w:p>
          <w:p w:rsidR="00D24C1C" w:rsidRDefault="00793B58">
            <w:pPr>
              <w:rPr>
                <w:rFonts w:ascii="宋体" w:hAnsi="宋体" w:cs="宋体"/>
                <w:szCs w:val="21"/>
              </w:rPr>
            </w:pPr>
            <w:r>
              <w:rPr>
                <w:rFonts w:ascii="宋体" w:hAnsi="宋体" w:cs="宋体" w:hint="eastAsia"/>
                <w:szCs w:val="21"/>
              </w:rPr>
              <w:t>2.</w:t>
            </w:r>
            <w:r>
              <w:rPr>
                <w:rFonts w:ascii="宋体" w:hAnsi="宋体" w:cs="宋体" w:hint="eastAsia"/>
                <w:szCs w:val="21"/>
              </w:rPr>
              <w:t>依法从严查处未经许可生产民用爆炸物品、利用现场混装炸药作业系统非法生产工业炸药的行为。</w:t>
            </w:r>
          </w:p>
          <w:p w:rsidR="00D24C1C" w:rsidRDefault="00793B58">
            <w:pPr>
              <w:rPr>
                <w:rFonts w:ascii="宋体" w:hAnsi="宋体" w:cs="宋体"/>
                <w:szCs w:val="21"/>
              </w:rPr>
            </w:pPr>
            <w:r>
              <w:rPr>
                <w:rFonts w:ascii="宋体" w:hAnsi="宋体" w:cs="宋体" w:hint="eastAsia"/>
                <w:szCs w:val="21"/>
              </w:rPr>
              <w:t>3.</w:t>
            </w:r>
            <w:r>
              <w:rPr>
                <w:rFonts w:ascii="宋体" w:hAnsi="宋体" w:cs="宋体" w:hint="eastAsia"/>
                <w:szCs w:val="21"/>
              </w:rPr>
              <w:t>深入推进民用爆炸物品行业实施“工业互联网</w:t>
            </w:r>
            <w:r>
              <w:rPr>
                <w:rFonts w:ascii="宋体" w:hAnsi="宋体" w:cs="宋体" w:hint="eastAsia"/>
                <w:szCs w:val="21"/>
              </w:rPr>
              <w:t>+</w:t>
            </w:r>
            <w:r>
              <w:rPr>
                <w:rFonts w:ascii="宋体" w:hAnsi="宋体" w:cs="宋体" w:hint="eastAsia"/>
                <w:szCs w:val="21"/>
              </w:rPr>
              <w:t>安全生产”，提升本质安全水平。</w:t>
            </w:r>
          </w:p>
          <w:p w:rsidR="00D24C1C" w:rsidRDefault="00793B58">
            <w:pPr>
              <w:rPr>
                <w:rFonts w:ascii="宋体" w:hAnsi="宋体" w:cs="宋体"/>
                <w:szCs w:val="21"/>
              </w:rPr>
            </w:pPr>
            <w:r>
              <w:rPr>
                <w:rFonts w:ascii="宋体" w:hAnsi="宋体" w:cs="宋体" w:hint="eastAsia"/>
                <w:szCs w:val="21"/>
              </w:rPr>
              <w:t>4.</w:t>
            </w:r>
            <w:r>
              <w:rPr>
                <w:rFonts w:ascii="宋体" w:hAnsi="宋体" w:cs="宋体" w:hint="eastAsia"/>
                <w:szCs w:val="21"/>
              </w:rPr>
              <w:t>及时处理投诉举报。</w:t>
            </w:r>
          </w:p>
        </w:tc>
        <w:tc>
          <w:tcPr>
            <w:tcW w:w="1725" w:type="dxa"/>
            <w:vAlign w:val="center"/>
          </w:tcPr>
          <w:p w:rsidR="00D24C1C" w:rsidRDefault="00793B58">
            <w:pPr>
              <w:rPr>
                <w:rFonts w:ascii="宋体" w:hAnsi="宋体" w:cs="宋体"/>
                <w:szCs w:val="21"/>
              </w:rPr>
            </w:pPr>
            <w:r>
              <w:rPr>
                <w:rFonts w:ascii="宋体" w:hAnsi="宋体" w:cs="宋体" w:hint="eastAsia"/>
                <w:szCs w:val="21"/>
              </w:rPr>
              <w:t>省市县三级</w:t>
            </w:r>
            <w:r>
              <w:rPr>
                <w:rFonts w:ascii="宋体" w:hAnsi="宋体" w:cs="宋体" w:hint="eastAsia"/>
                <w:szCs w:val="21"/>
              </w:rPr>
              <w:t>民用爆炸物品行业主管部门</w:t>
            </w:r>
          </w:p>
        </w:tc>
      </w:tr>
      <w:tr w:rsidR="00D24C1C">
        <w:trPr>
          <w:trHeight w:hRule="exact" w:val="2873"/>
        </w:trPr>
        <w:tc>
          <w:tcPr>
            <w:tcW w:w="765" w:type="dxa"/>
            <w:vAlign w:val="center"/>
          </w:tcPr>
          <w:p w:rsidR="00D24C1C" w:rsidRDefault="00793B58">
            <w:pPr>
              <w:jc w:val="center"/>
              <w:rPr>
                <w:rFonts w:ascii="Times New Roman" w:eastAsia="仿宋_GB2312" w:hAnsi="Times New Roman" w:cs="仿宋_GB2312"/>
                <w:sz w:val="24"/>
              </w:rPr>
            </w:pPr>
            <w:r>
              <w:rPr>
                <w:rFonts w:eastAsia="仿宋_GB2312" w:cs="仿宋_GB2312" w:hint="eastAsia"/>
                <w:sz w:val="24"/>
              </w:rPr>
              <w:lastRenderedPageBreak/>
              <w:t>7</w:t>
            </w:r>
          </w:p>
        </w:tc>
        <w:tc>
          <w:tcPr>
            <w:tcW w:w="1452" w:type="dxa"/>
            <w:vAlign w:val="center"/>
          </w:tcPr>
          <w:p w:rsidR="00D24C1C" w:rsidRDefault="00793B58">
            <w:pPr>
              <w:rPr>
                <w:rFonts w:ascii="宋体" w:hAnsi="宋体" w:cs="宋体"/>
                <w:szCs w:val="21"/>
              </w:rPr>
            </w:pPr>
            <w:r>
              <w:rPr>
                <w:rFonts w:ascii="宋体" w:hAnsi="宋体" w:cs="宋体" w:hint="eastAsia"/>
                <w:szCs w:val="21"/>
              </w:rPr>
              <w:t>民用爆炸物品安全生产许可</w:t>
            </w:r>
          </w:p>
        </w:tc>
        <w:tc>
          <w:tcPr>
            <w:tcW w:w="1452" w:type="dxa"/>
            <w:vAlign w:val="center"/>
          </w:tcPr>
          <w:p w:rsidR="00D24C1C" w:rsidRDefault="00793B58">
            <w:pPr>
              <w:rPr>
                <w:rFonts w:ascii="宋体" w:hAnsi="宋体" w:cs="宋体"/>
                <w:szCs w:val="21"/>
              </w:rPr>
            </w:pPr>
            <w:r>
              <w:rPr>
                <w:rFonts w:ascii="宋体" w:hAnsi="宋体" w:cs="宋体" w:hint="eastAsia"/>
                <w:szCs w:val="21"/>
              </w:rPr>
              <w:t>省级民用爆炸物品行业主管部门</w:t>
            </w:r>
          </w:p>
        </w:tc>
        <w:tc>
          <w:tcPr>
            <w:tcW w:w="1266" w:type="dxa"/>
            <w:vAlign w:val="center"/>
          </w:tcPr>
          <w:p w:rsidR="00D24C1C" w:rsidRDefault="00793B58">
            <w:pPr>
              <w:rPr>
                <w:rFonts w:ascii="宋体" w:hAnsi="宋体" w:cs="宋体"/>
                <w:szCs w:val="21"/>
              </w:rPr>
            </w:pPr>
            <w:r>
              <w:rPr>
                <w:rFonts w:ascii="宋体" w:hAnsi="宋体" w:cs="宋体" w:hint="eastAsia"/>
                <w:szCs w:val="21"/>
              </w:rPr>
              <w:t>优化审批服务</w:t>
            </w:r>
          </w:p>
        </w:tc>
        <w:tc>
          <w:tcPr>
            <w:tcW w:w="4409" w:type="dxa"/>
            <w:vAlign w:val="center"/>
          </w:tcPr>
          <w:p w:rsidR="00D24C1C" w:rsidRDefault="00793B58">
            <w:pPr>
              <w:rPr>
                <w:rFonts w:ascii="宋体" w:hAnsi="宋体" w:cs="宋体"/>
                <w:szCs w:val="21"/>
              </w:rPr>
            </w:pPr>
            <w:r>
              <w:rPr>
                <w:rFonts w:ascii="宋体" w:hAnsi="宋体" w:cs="宋体" w:hint="eastAsia"/>
                <w:szCs w:val="21"/>
              </w:rPr>
              <w:t>将</w:t>
            </w:r>
            <w:r>
              <w:rPr>
                <w:rFonts w:ascii="宋体" w:hAnsi="宋体" w:cs="宋体" w:hint="eastAsia"/>
                <w:szCs w:val="21"/>
              </w:rPr>
              <w:t>审批时限由</w:t>
            </w:r>
            <w:r>
              <w:rPr>
                <w:rFonts w:ascii="宋体" w:hAnsi="宋体" w:cs="宋体" w:hint="eastAsia"/>
                <w:szCs w:val="21"/>
              </w:rPr>
              <w:t>45</w:t>
            </w:r>
            <w:r>
              <w:rPr>
                <w:rFonts w:ascii="宋体" w:hAnsi="宋体" w:cs="宋体" w:hint="eastAsia"/>
                <w:szCs w:val="21"/>
              </w:rPr>
              <w:t>日压减至</w:t>
            </w:r>
            <w:r>
              <w:rPr>
                <w:rFonts w:ascii="宋体" w:hAnsi="宋体" w:cs="宋体" w:hint="eastAsia"/>
                <w:szCs w:val="21"/>
              </w:rPr>
              <w:t>30</w:t>
            </w:r>
            <w:r>
              <w:rPr>
                <w:rFonts w:ascii="宋体" w:hAnsi="宋体" w:cs="宋体" w:hint="eastAsia"/>
                <w:szCs w:val="21"/>
              </w:rPr>
              <w:t>日。</w:t>
            </w:r>
          </w:p>
        </w:tc>
        <w:tc>
          <w:tcPr>
            <w:tcW w:w="4075" w:type="dxa"/>
            <w:vAlign w:val="center"/>
          </w:tcPr>
          <w:p w:rsidR="00D24C1C" w:rsidRDefault="00793B58">
            <w:pPr>
              <w:rPr>
                <w:rFonts w:ascii="宋体" w:hAnsi="宋体" w:cs="宋体"/>
                <w:szCs w:val="21"/>
              </w:rPr>
            </w:pPr>
            <w:r>
              <w:rPr>
                <w:rFonts w:ascii="宋体" w:hAnsi="宋体" w:cs="宋体" w:hint="eastAsia"/>
                <w:szCs w:val="21"/>
              </w:rPr>
              <w:t>1.</w:t>
            </w:r>
            <w:r>
              <w:rPr>
                <w:rFonts w:ascii="宋体" w:hAnsi="宋体" w:cs="宋体" w:hint="eastAsia"/>
                <w:szCs w:val="21"/>
              </w:rPr>
              <w:t>加强行政执法，依法依规实行全覆盖监管，开展民用爆炸物品行业安全生产专项督查，发现违法违规行为要依法查处并公开结果。</w:t>
            </w:r>
          </w:p>
          <w:p w:rsidR="00D24C1C" w:rsidRDefault="00793B58">
            <w:pPr>
              <w:rPr>
                <w:rFonts w:ascii="宋体" w:hAnsi="宋体" w:cs="宋体"/>
                <w:szCs w:val="21"/>
              </w:rPr>
            </w:pPr>
            <w:r>
              <w:rPr>
                <w:rFonts w:ascii="宋体" w:hAnsi="宋体" w:cs="宋体" w:hint="eastAsia"/>
                <w:szCs w:val="21"/>
              </w:rPr>
              <w:t>2.</w:t>
            </w:r>
            <w:r>
              <w:rPr>
                <w:rFonts w:ascii="宋体" w:hAnsi="宋体" w:cs="宋体" w:hint="eastAsia"/>
                <w:szCs w:val="21"/>
              </w:rPr>
              <w:t>深入推进民用爆炸物品行业实施“工业互联网</w:t>
            </w:r>
            <w:r>
              <w:rPr>
                <w:rFonts w:ascii="宋体" w:hAnsi="宋体" w:cs="宋体" w:hint="eastAsia"/>
                <w:szCs w:val="21"/>
              </w:rPr>
              <w:t>+</w:t>
            </w:r>
            <w:r>
              <w:rPr>
                <w:rFonts w:ascii="宋体" w:hAnsi="宋体" w:cs="宋体" w:hint="eastAsia"/>
                <w:szCs w:val="21"/>
              </w:rPr>
              <w:t>安全生产”，提升本质安全水平。</w:t>
            </w:r>
          </w:p>
          <w:p w:rsidR="00D24C1C" w:rsidRDefault="00793B58">
            <w:pPr>
              <w:rPr>
                <w:rFonts w:ascii="宋体" w:hAnsi="宋体" w:cs="宋体"/>
                <w:szCs w:val="21"/>
              </w:rPr>
            </w:pPr>
            <w:r>
              <w:rPr>
                <w:rFonts w:ascii="宋体" w:hAnsi="宋体" w:cs="宋体"/>
                <w:szCs w:val="21"/>
              </w:rPr>
              <w:t>3.</w:t>
            </w:r>
            <w:r>
              <w:rPr>
                <w:rFonts w:ascii="宋体" w:hAnsi="宋体" w:cs="宋体" w:hint="eastAsia"/>
                <w:szCs w:val="21"/>
              </w:rPr>
              <w:t>及时处理投诉举报。</w:t>
            </w:r>
          </w:p>
        </w:tc>
        <w:tc>
          <w:tcPr>
            <w:tcW w:w="1725" w:type="dxa"/>
            <w:vAlign w:val="center"/>
          </w:tcPr>
          <w:p w:rsidR="00D24C1C" w:rsidRDefault="00793B58">
            <w:pPr>
              <w:rPr>
                <w:rFonts w:ascii="宋体" w:hAnsi="宋体" w:cs="宋体"/>
                <w:szCs w:val="21"/>
              </w:rPr>
            </w:pPr>
            <w:r>
              <w:rPr>
                <w:rFonts w:ascii="宋体" w:hAnsi="宋体" w:cs="宋体" w:hint="eastAsia"/>
                <w:szCs w:val="21"/>
              </w:rPr>
              <w:t>省市县三级</w:t>
            </w:r>
            <w:r>
              <w:rPr>
                <w:rFonts w:ascii="宋体" w:hAnsi="宋体" w:cs="宋体" w:hint="eastAsia"/>
                <w:szCs w:val="21"/>
              </w:rPr>
              <w:t>民用爆炸物品行业主管部门</w:t>
            </w:r>
          </w:p>
        </w:tc>
      </w:tr>
      <w:tr w:rsidR="00D24C1C">
        <w:trPr>
          <w:trHeight w:val="2137"/>
        </w:trPr>
        <w:tc>
          <w:tcPr>
            <w:tcW w:w="765" w:type="dxa"/>
            <w:vAlign w:val="center"/>
          </w:tcPr>
          <w:p w:rsidR="00D24C1C" w:rsidRDefault="00793B58">
            <w:pPr>
              <w:jc w:val="center"/>
              <w:rPr>
                <w:rFonts w:ascii="Times New Roman" w:eastAsia="仿宋_GB2312" w:hAnsi="Times New Roman" w:cs="仿宋_GB2312"/>
                <w:sz w:val="24"/>
              </w:rPr>
            </w:pPr>
            <w:r>
              <w:rPr>
                <w:rFonts w:eastAsia="仿宋_GB2312" w:cs="仿宋_GB2312" w:hint="eastAsia"/>
                <w:sz w:val="24"/>
              </w:rPr>
              <w:t>8</w:t>
            </w:r>
          </w:p>
        </w:tc>
        <w:tc>
          <w:tcPr>
            <w:tcW w:w="1452" w:type="dxa"/>
            <w:vAlign w:val="center"/>
          </w:tcPr>
          <w:p w:rsidR="00D24C1C" w:rsidRDefault="00793B58">
            <w:pPr>
              <w:rPr>
                <w:rFonts w:ascii="宋体" w:hAnsi="宋体" w:cs="宋体"/>
                <w:szCs w:val="21"/>
              </w:rPr>
            </w:pPr>
            <w:r>
              <w:rPr>
                <w:rFonts w:ascii="宋体" w:hAnsi="宋体" w:cs="宋体" w:hint="eastAsia"/>
                <w:szCs w:val="21"/>
              </w:rPr>
              <w:t>民用爆炸物品销售许可</w:t>
            </w:r>
          </w:p>
        </w:tc>
        <w:tc>
          <w:tcPr>
            <w:tcW w:w="1452" w:type="dxa"/>
            <w:vAlign w:val="center"/>
          </w:tcPr>
          <w:p w:rsidR="00D24C1C" w:rsidRDefault="00793B58">
            <w:pPr>
              <w:rPr>
                <w:rFonts w:ascii="宋体" w:hAnsi="宋体" w:cs="宋体"/>
                <w:szCs w:val="21"/>
              </w:rPr>
            </w:pPr>
            <w:r>
              <w:rPr>
                <w:rFonts w:ascii="宋体" w:hAnsi="宋体" w:cs="宋体" w:hint="eastAsia"/>
                <w:szCs w:val="21"/>
              </w:rPr>
              <w:t>省级民用爆炸物品行业主管部门</w:t>
            </w:r>
          </w:p>
        </w:tc>
        <w:tc>
          <w:tcPr>
            <w:tcW w:w="1266" w:type="dxa"/>
            <w:vAlign w:val="center"/>
          </w:tcPr>
          <w:p w:rsidR="00D24C1C" w:rsidRDefault="00793B58">
            <w:pPr>
              <w:rPr>
                <w:rFonts w:ascii="宋体" w:hAnsi="宋体" w:cs="宋体"/>
                <w:szCs w:val="21"/>
              </w:rPr>
            </w:pPr>
            <w:r>
              <w:rPr>
                <w:rFonts w:ascii="宋体" w:hAnsi="宋体" w:cs="宋体" w:hint="eastAsia"/>
                <w:szCs w:val="21"/>
              </w:rPr>
              <w:t>优化审批服务</w:t>
            </w:r>
          </w:p>
        </w:tc>
        <w:tc>
          <w:tcPr>
            <w:tcW w:w="4409" w:type="dxa"/>
            <w:vAlign w:val="center"/>
          </w:tcPr>
          <w:p w:rsidR="00D24C1C" w:rsidRDefault="00793B58">
            <w:pPr>
              <w:rPr>
                <w:rFonts w:ascii="宋体" w:hAnsi="宋体" w:cs="宋体"/>
                <w:szCs w:val="21"/>
              </w:rPr>
            </w:pPr>
            <w:r>
              <w:rPr>
                <w:rFonts w:ascii="宋体" w:hAnsi="宋体" w:cs="宋体"/>
                <w:szCs w:val="21"/>
              </w:rPr>
              <w:t>1.</w:t>
            </w:r>
            <w:r>
              <w:rPr>
                <w:rFonts w:ascii="宋体" w:hAnsi="宋体" w:cs="宋体" w:hint="eastAsia"/>
                <w:szCs w:val="21"/>
              </w:rPr>
              <w:t>取消申请许可时“从事配送业务的必须具备押运员、驾驶员以及符合特定的爆炸物品专用运输车辆”的要求。</w:t>
            </w:r>
          </w:p>
          <w:p w:rsidR="00D24C1C" w:rsidRDefault="00793B58">
            <w:pPr>
              <w:rPr>
                <w:rFonts w:ascii="宋体" w:hAnsi="宋体" w:cs="宋体"/>
                <w:szCs w:val="21"/>
              </w:rPr>
            </w:pPr>
            <w:r>
              <w:rPr>
                <w:rFonts w:ascii="宋体" w:hAnsi="宋体" w:cs="宋体" w:hint="eastAsia"/>
                <w:szCs w:val="21"/>
              </w:rPr>
              <w:t>2</w:t>
            </w:r>
            <w:r>
              <w:rPr>
                <w:rFonts w:ascii="宋体" w:hAnsi="宋体" w:cs="宋体"/>
                <w:szCs w:val="21"/>
              </w:rPr>
              <w:t>.</w:t>
            </w:r>
            <w:r>
              <w:rPr>
                <w:rFonts w:ascii="宋体" w:hAnsi="宋体" w:cs="宋体" w:hint="eastAsia"/>
                <w:szCs w:val="21"/>
              </w:rPr>
              <w:t>将民用爆炸物品销售许可证年检制度改为年度报告制度。</w:t>
            </w:r>
          </w:p>
        </w:tc>
        <w:tc>
          <w:tcPr>
            <w:tcW w:w="4075" w:type="dxa"/>
            <w:vAlign w:val="center"/>
          </w:tcPr>
          <w:p w:rsidR="00D24C1C" w:rsidRDefault="00793B58">
            <w:pPr>
              <w:rPr>
                <w:rFonts w:ascii="宋体" w:hAnsi="宋体" w:cs="宋体"/>
                <w:szCs w:val="21"/>
              </w:rPr>
            </w:pPr>
            <w:r>
              <w:rPr>
                <w:rFonts w:ascii="宋体" w:hAnsi="宋体" w:cs="宋体" w:hint="eastAsia"/>
                <w:szCs w:val="21"/>
              </w:rPr>
              <w:t>1.</w:t>
            </w:r>
            <w:r>
              <w:rPr>
                <w:rFonts w:ascii="宋体" w:hAnsi="宋体" w:cs="宋体" w:hint="eastAsia"/>
                <w:szCs w:val="21"/>
              </w:rPr>
              <w:t>加强行政执法，依法依规实行全覆盖监管，发现违法违规销售民用爆炸物品（包括硝酸铵）行为要依法查处并公开结果。</w:t>
            </w:r>
          </w:p>
          <w:p w:rsidR="00D24C1C" w:rsidRDefault="00793B58">
            <w:pPr>
              <w:rPr>
                <w:rFonts w:ascii="宋体" w:hAnsi="宋体" w:cs="宋体"/>
                <w:szCs w:val="21"/>
              </w:rPr>
            </w:pPr>
            <w:r>
              <w:rPr>
                <w:rFonts w:ascii="宋体" w:hAnsi="宋体" w:cs="宋体" w:hint="eastAsia"/>
                <w:szCs w:val="21"/>
              </w:rPr>
              <w:t>2.</w:t>
            </w:r>
            <w:r>
              <w:rPr>
                <w:rFonts w:ascii="宋体" w:hAnsi="宋体" w:cs="宋体" w:hint="eastAsia"/>
                <w:szCs w:val="21"/>
              </w:rPr>
              <w:t>深入推进民用爆炸物品行业实施“工业互联网</w:t>
            </w:r>
            <w:r>
              <w:rPr>
                <w:rFonts w:ascii="宋体" w:hAnsi="宋体" w:cs="宋体" w:hint="eastAsia"/>
                <w:szCs w:val="21"/>
              </w:rPr>
              <w:t>+</w:t>
            </w:r>
            <w:r>
              <w:rPr>
                <w:rFonts w:ascii="宋体" w:hAnsi="宋体" w:cs="宋体" w:hint="eastAsia"/>
                <w:szCs w:val="21"/>
              </w:rPr>
              <w:t>安全生产”，提升本质安全水平。</w:t>
            </w:r>
          </w:p>
          <w:p w:rsidR="00D24C1C" w:rsidRDefault="00793B58">
            <w:pPr>
              <w:rPr>
                <w:rFonts w:ascii="宋体" w:hAnsi="宋体" w:cs="宋体"/>
                <w:szCs w:val="21"/>
              </w:rPr>
            </w:pPr>
            <w:r>
              <w:rPr>
                <w:rFonts w:ascii="宋体" w:hAnsi="宋体" w:cs="宋体" w:hint="eastAsia"/>
                <w:szCs w:val="21"/>
              </w:rPr>
              <w:t>3.</w:t>
            </w:r>
            <w:r>
              <w:rPr>
                <w:rFonts w:ascii="宋体" w:hAnsi="宋体" w:cs="宋体" w:hint="eastAsia"/>
                <w:szCs w:val="21"/>
              </w:rPr>
              <w:t>及时处理投诉举报。</w:t>
            </w:r>
          </w:p>
        </w:tc>
        <w:tc>
          <w:tcPr>
            <w:tcW w:w="1725" w:type="dxa"/>
            <w:vAlign w:val="center"/>
          </w:tcPr>
          <w:p w:rsidR="00D24C1C" w:rsidRDefault="00793B58">
            <w:pPr>
              <w:rPr>
                <w:rFonts w:ascii="宋体" w:hAnsi="宋体" w:cs="宋体"/>
                <w:szCs w:val="21"/>
              </w:rPr>
            </w:pPr>
            <w:r>
              <w:rPr>
                <w:rFonts w:ascii="宋体" w:hAnsi="宋体" w:cs="宋体" w:hint="eastAsia"/>
                <w:szCs w:val="21"/>
              </w:rPr>
              <w:t>省市县三级</w:t>
            </w:r>
            <w:r>
              <w:rPr>
                <w:rFonts w:ascii="宋体" w:hAnsi="宋体" w:cs="宋体" w:hint="eastAsia"/>
                <w:szCs w:val="21"/>
              </w:rPr>
              <w:t>民用爆炸物品行业主管部门</w:t>
            </w:r>
          </w:p>
        </w:tc>
      </w:tr>
      <w:tr w:rsidR="00D24C1C">
        <w:trPr>
          <w:trHeight w:hRule="exact" w:val="2673"/>
        </w:trPr>
        <w:tc>
          <w:tcPr>
            <w:tcW w:w="765" w:type="dxa"/>
            <w:vAlign w:val="center"/>
          </w:tcPr>
          <w:p w:rsidR="00D24C1C" w:rsidRDefault="00793B58">
            <w:pPr>
              <w:jc w:val="center"/>
              <w:rPr>
                <w:rFonts w:ascii="Times New Roman" w:eastAsia="仿宋_GB2312" w:hAnsi="Times New Roman" w:cs="仿宋_GB2312"/>
                <w:sz w:val="24"/>
              </w:rPr>
            </w:pPr>
            <w:r>
              <w:rPr>
                <w:rFonts w:eastAsia="仿宋_GB2312" w:cs="仿宋_GB2312" w:hint="eastAsia"/>
                <w:sz w:val="24"/>
              </w:rPr>
              <w:t>9</w:t>
            </w:r>
          </w:p>
        </w:tc>
        <w:tc>
          <w:tcPr>
            <w:tcW w:w="1452" w:type="dxa"/>
            <w:vAlign w:val="center"/>
          </w:tcPr>
          <w:p w:rsidR="00D24C1C" w:rsidRDefault="00793B58">
            <w:pPr>
              <w:rPr>
                <w:rFonts w:ascii="宋体" w:hAnsi="宋体" w:cs="宋体"/>
                <w:szCs w:val="21"/>
              </w:rPr>
            </w:pPr>
            <w:r>
              <w:rPr>
                <w:rFonts w:ascii="宋体" w:hAnsi="宋体" w:cs="宋体" w:hint="eastAsia"/>
                <w:szCs w:val="21"/>
              </w:rPr>
              <w:t>第二类监控化学品经营许可</w:t>
            </w:r>
          </w:p>
        </w:tc>
        <w:tc>
          <w:tcPr>
            <w:tcW w:w="1452" w:type="dxa"/>
            <w:vAlign w:val="center"/>
          </w:tcPr>
          <w:p w:rsidR="00D24C1C" w:rsidRDefault="00793B58">
            <w:pPr>
              <w:rPr>
                <w:rFonts w:ascii="宋体" w:hAnsi="宋体" w:cs="宋体"/>
                <w:szCs w:val="21"/>
              </w:rPr>
            </w:pPr>
            <w:r>
              <w:rPr>
                <w:rFonts w:ascii="宋体" w:hAnsi="宋体" w:cs="宋体" w:hint="eastAsia"/>
                <w:szCs w:val="21"/>
              </w:rPr>
              <w:t>省级工业和信息化部主管部门</w:t>
            </w:r>
          </w:p>
        </w:tc>
        <w:tc>
          <w:tcPr>
            <w:tcW w:w="1266" w:type="dxa"/>
            <w:vAlign w:val="center"/>
          </w:tcPr>
          <w:p w:rsidR="00D24C1C" w:rsidRDefault="00793B58">
            <w:pPr>
              <w:rPr>
                <w:rFonts w:ascii="宋体" w:hAnsi="宋体" w:cs="宋体"/>
                <w:szCs w:val="21"/>
              </w:rPr>
            </w:pPr>
            <w:r>
              <w:rPr>
                <w:rFonts w:ascii="宋体" w:hAnsi="宋体" w:cs="宋体" w:hint="eastAsia"/>
                <w:szCs w:val="21"/>
              </w:rPr>
              <w:t>优化审批服务</w:t>
            </w:r>
          </w:p>
        </w:tc>
        <w:tc>
          <w:tcPr>
            <w:tcW w:w="4409" w:type="dxa"/>
            <w:vAlign w:val="center"/>
          </w:tcPr>
          <w:p w:rsidR="00D24C1C" w:rsidRDefault="00793B58">
            <w:pPr>
              <w:rPr>
                <w:rFonts w:ascii="宋体" w:hAnsi="宋体" w:cs="宋体"/>
                <w:szCs w:val="21"/>
              </w:rPr>
            </w:pPr>
            <w:r>
              <w:rPr>
                <w:rFonts w:ascii="宋体" w:hAnsi="宋体" w:cs="宋体" w:hint="eastAsia"/>
                <w:szCs w:val="21"/>
              </w:rPr>
              <w:t>将审批时限由</w:t>
            </w:r>
            <w:r>
              <w:rPr>
                <w:rFonts w:ascii="宋体" w:hAnsi="宋体" w:cs="宋体" w:hint="eastAsia"/>
                <w:szCs w:val="21"/>
              </w:rPr>
              <w:t>20</w:t>
            </w:r>
            <w:r>
              <w:rPr>
                <w:rFonts w:ascii="宋体" w:hAnsi="宋体" w:cs="宋体" w:hint="eastAsia"/>
                <w:szCs w:val="21"/>
              </w:rPr>
              <w:t>个工作日</w:t>
            </w:r>
            <w:r>
              <w:rPr>
                <w:rFonts w:ascii="宋体" w:hAnsi="宋体" w:cs="宋体" w:hint="eastAsia"/>
                <w:szCs w:val="21"/>
              </w:rPr>
              <w:t>压减至</w:t>
            </w:r>
            <w:r>
              <w:rPr>
                <w:rFonts w:ascii="宋体" w:hAnsi="宋体" w:cs="宋体" w:hint="eastAsia"/>
                <w:szCs w:val="21"/>
              </w:rPr>
              <w:t>18</w:t>
            </w:r>
            <w:r>
              <w:rPr>
                <w:rFonts w:ascii="宋体" w:hAnsi="宋体" w:cs="宋体" w:hint="eastAsia"/>
                <w:szCs w:val="21"/>
              </w:rPr>
              <w:t>个工作日</w:t>
            </w:r>
            <w:r>
              <w:rPr>
                <w:rFonts w:ascii="宋体" w:hAnsi="宋体" w:cs="宋体"/>
                <w:szCs w:val="21"/>
              </w:rPr>
              <w:t>。</w:t>
            </w:r>
          </w:p>
        </w:tc>
        <w:tc>
          <w:tcPr>
            <w:tcW w:w="4075" w:type="dxa"/>
            <w:vAlign w:val="center"/>
          </w:tcPr>
          <w:p w:rsidR="00D24C1C" w:rsidRDefault="00793B58">
            <w:pPr>
              <w:rPr>
                <w:rFonts w:ascii="宋体" w:hAnsi="宋体" w:cs="宋体"/>
                <w:szCs w:val="21"/>
              </w:rPr>
            </w:pPr>
            <w:r>
              <w:rPr>
                <w:rFonts w:ascii="宋体" w:hAnsi="宋体" w:cs="宋体" w:hint="eastAsia"/>
                <w:szCs w:val="21"/>
              </w:rPr>
              <w:t>1.</w:t>
            </w:r>
            <w:r>
              <w:rPr>
                <w:rFonts w:ascii="宋体" w:hAnsi="宋体" w:cs="宋体" w:hint="eastAsia"/>
                <w:szCs w:val="21"/>
              </w:rPr>
              <w:t>开展“双随机、一公开”监管，依法查处违法违规经营活动并公开结果。</w:t>
            </w:r>
          </w:p>
          <w:p w:rsidR="00D24C1C" w:rsidRDefault="00793B58">
            <w:pPr>
              <w:rPr>
                <w:rFonts w:ascii="宋体" w:hAnsi="宋体" w:cs="宋体"/>
                <w:szCs w:val="21"/>
              </w:rPr>
            </w:pPr>
            <w:r>
              <w:rPr>
                <w:rFonts w:ascii="宋体" w:hAnsi="宋体" w:cs="宋体" w:hint="eastAsia"/>
                <w:szCs w:val="21"/>
              </w:rPr>
              <w:t>2.</w:t>
            </w:r>
            <w:r>
              <w:rPr>
                <w:rFonts w:ascii="宋体" w:hAnsi="宋体" w:cs="宋体" w:hint="eastAsia"/>
                <w:szCs w:val="21"/>
              </w:rPr>
              <w:t>加强信用监管，依法依规开展失信惩戒。</w:t>
            </w:r>
          </w:p>
        </w:tc>
        <w:tc>
          <w:tcPr>
            <w:tcW w:w="1725" w:type="dxa"/>
            <w:vAlign w:val="center"/>
          </w:tcPr>
          <w:p w:rsidR="00D24C1C" w:rsidRDefault="00793B58">
            <w:pPr>
              <w:rPr>
                <w:rFonts w:ascii="宋体" w:hAnsi="宋体" w:cs="宋体"/>
                <w:szCs w:val="21"/>
              </w:rPr>
            </w:pPr>
            <w:r>
              <w:rPr>
                <w:rFonts w:ascii="宋体" w:hAnsi="宋体" w:cs="宋体" w:hint="eastAsia"/>
                <w:szCs w:val="21"/>
              </w:rPr>
              <w:t>省市县三级工业和信息化部门依法实施监督检查，省级工业和信息化部门依法实施行政处罚</w:t>
            </w:r>
          </w:p>
        </w:tc>
      </w:tr>
      <w:tr w:rsidR="00D24C1C">
        <w:trPr>
          <w:trHeight w:hRule="exact" w:val="5102"/>
        </w:trPr>
        <w:tc>
          <w:tcPr>
            <w:tcW w:w="765" w:type="dxa"/>
            <w:vAlign w:val="center"/>
          </w:tcPr>
          <w:p w:rsidR="00D24C1C" w:rsidRDefault="00793B58">
            <w:pPr>
              <w:jc w:val="center"/>
              <w:rPr>
                <w:rFonts w:ascii="Times New Roman" w:eastAsia="仿宋_GB2312" w:hAnsi="Times New Roman" w:cs="仿宋_GB2312"/>
                <w:sz w:val="24"/>
              </w:rPr>
            </w:pPr>
            <w:r>
              <w:rPr>
                <w:rFonts w:ascii="Times New Roman" w:eastAsia="仿宋_GB2312" w:hAnsi="Times New Roman" w:cs="仿宋_GB2312" w:hint="eastAsia"/>
                <w:sz w:val="24"/>
              </w:rPr>
              <w:lastRenderedPageBreak/>
              <w:t>1</w:t>
            </w:r>
            <w:r>
              <w:rPr>
                <w:rFonts w:eastAsia="仿宋_GB2312" w:cs="仿宋_GB2312" w:hint="eastAsia"/>
                <w:sz w:val="24"/>
              </w:rPr>
              <w:t>0</w:t>
            </w:r>
          </w:p>
        </w:tc>
        <w:tc>
          <w:tcPr>
            <w:tcW w:w="1452" w:type="dxa"/>
            <w:vAlign w:val="center"/>
          </w:tcPr>
          <w:p w:rsidR="00D24C1C" w:rsidRDefault="00793B58">
            <w:pPr>
              <w:rPr>
                <w:rFonts w:ascii="宋体" w:hAnsi="宋体" w:cs="宋体"/>
                <w:szCs w:val="21"/>
              </w:rPr>
            </w:pPr>
            <w:r>
              <w:rPr>
                <w:rFonts w:ascii="宋体" w:hAnsi="宋体" w:cs="宋体" w:hint="eastAsia"/>
                <w:szCs w:val="21"/>
              </w:rPr>
              <w:t>第二、三类监控化学品和第四类监控化学品中含磷、硫、氟的特定有机化学品生产特别许可</w:t>
            </w:r>
          </w:p>
        </w:tc>
        <w:tc>
          <w:tcPr>
            <w:tcW w:w="1452" w:type="dxa"/>
            <w:vAlign w:val="center"/>
          </w:tcPr>
          <w:p w:rsidR="00D24C1C" w:rsidRDefault="00793B58">
            <w:pPr>
              <w:rPr>
                <w:rFonts w:ascii="宋体" w:hAnsi="宋体" w:cs="宋体"/>
                <w:szCs w:val="21"/>
              </w:rPr>
            </w:pPr>
            <w:r>
              <w:rPr>
                <w:rFonts w:ascii="宋体" w:hAnsi="宋体" w:cs="宋体" w:hint="eastAsia"/>
                <w:szCs w:val="21"/>
              </w:rPr>
              <w:t>省级工业和信息化部主管部门</w:t>
            </w:r>
          </w:p>
        </w:tc>
        <w:tc>
          <w:tcPr>
            <w:tcW w:w="1266" w:type="dxa"/>
            <w:vAlign w:val="center"/>
          </w:tcPr>
          <w:p w:rsidR="00D24C1C" w:rsidRDefault="00793B58">
            <w:pPr>
              <w:rPr>
                <w:rFonts w:ascii="宋体" w:hAnsi="宋体" w:cs="宋体"/>
                <w:szCs w:val="21"/>
              </w:rPr>
            </w:pPr>
            <w:r>
              <w:rPr>
                <w:rFonts w:ascii="宋体" w:hAnsi="宋体" w:cs="宋体" w:hint="eastAsia"/>
                <w:szCs w:val="21"/>
              </w:rPr>
              <w:t>优化审批服务</w:t>
            </w:r>
          </w:p>
        </w:tc>
        <w:tc>
          <w:tcPr>
            <w:tcW w:w="4409" w:type="dxa"/>
            <w:vAlign w:val="center"/>
          </w:tcPr>
          <w:p w:rsidR="00D24C1C" w:rsidRDefault="00793B58">
            <w:pPr>
              <w:rPr>
                <w:rFonts w:ascii="宋体" w:hAnsi="宋体" w:cs="宋体"/>
                <w:szCs w:val="21"/>
              </w:rPr>
            </w:pPr>
            <w:r>
              <w:rPr>
                <w:rFonts w:ascii="宋体" w:hAnsi="宋体" w:cs="宋体" w:hint="eastAsia"/>
                <w:szCs w:val="21"/>
              </w:rPr>
              <w:t>1.</w:t>
            </w:r>
            <w:r>
              <w:rPr>
                <w:rFonts w:ascii="宋体" w:hAnsi="宋体" w:cs="宋体"/>
                <w:szCs w:val="21"/>
              </w:rPr>
              <w:t>取消</w:t>
            </w:r>
            <w:r>
              <w:rPr>
                <w:rFonts w:ascii="宋体" w:hAnsi="宋体" w:cs="宋体" w:hint="eastAsia"/>
                <w:szCs w:val="21"/>
              </w:rPr>
              <w:t>省级工业和信息化主管部门初审</w:t>
            </w:r>
            <w:r>
              <w:rPr>
                <w:rFonts w:ascii="宋体" w:hAnsi="宋体" w:cs="宋体"/>
                <w:szCs w:val="21"/>
              </w:rPr>
              <w:t>。</w:t>
            </w:r>
          </w:p>
          <w:p w:rsidR="00D24C1C" w:rsidRDefault="00793B58">
            <w:pPr>
              <w:rPr>
                <w:rFonts w:ascii="宋体" w:hAnsi="宋体" w:cs="宋体"/>
                <w:szCs w:val="21"/>
              </w:rPr>
            </w:pPr>
            <w:r>
              <w:rPr>
                <w:rFonts w:ascii="宋体" w:hAnsi="宋体" w:cs="宋体" w:hint="eastAsia"/>
                <w:szCs w:val="21"/>
              </w:rPr>
              <w:t>2.</w:t>
            </w:r>
            <w:r>
              <w:rPr>
                <w:rFonts w:ascii="宋体" w:hAnsi="宋体" w:cs="宋体"/>
                <w:szCs w:val="21"/>
              </w:rPr>
              <w:t>由</w:t>
            </w:r>
            <w:r>
              <w:rPr>
                <w:rFonts w:ascii="宋体" w:hAnsi="宋体" w:cs="宋体" w:hint="eastAsia"/>
                <w:szCs w:val="21"/>
              </w:rPr>
              <w:t>工业和信息化部审批，调整为省级工业和信息化主管部门直接审批。</w:t>
            </w:r>
          </w:p>
          <w:p w:rsidR="00D24C1C" w:rsidRDefault="00793B58">
            <w:pPr>
              <w:rPr>
                <w:rFonts w:ascii="宋体" w:hAnsi="宋体" w:cs="宋体"/>
                <w:szCs w:val="21"/>
              </w:rPr>
            </w:pPr>
            <w:r>
              <w:rPr>
                <w:rFonts w:ascii="宋体" w:hAnsi="宋体" w:cs="宋体"/>
                <w:szCs w:val="21"/>
              </w:rPr>
              <w:t>3</w:t>
            </w:r>
            <w:r>
              <w:rPr>
                <w:rFonts w:ascii="宋体" w:hAnsi="宋体" w:cs="宋体" w:hint="eastAsia"/>
                <w:szCs w:val="21"/>
              </w:rPr>
              <w:t>.</w:t>
            </w:r>
            <w:r>
              <w:rPr>
                <w:rFonts w:ascii="宋体" w:hAnsi="宋体" w:cs="宋体" w:hint="eastAsia"/>
                <w:szCs w:val="21"/>
              </w:rPr>
              <w:t>修改监控化学品生产特别许可申请表、监控化学品生产特别许可现场考核表，在申请材料中取消车间设备平面布置图，并调整相关的考核内容。</w:t>
            </w:r>
          </w:p>
          <w:p w:rsidR="00D24C1C" w:rsidRDefault="00793B58">
            <w:pPr>
              <w:rPr>
                <w:rFonts w:ascii="宋体" w:hAnsi="宋体" w:cs="宋体"/>
                <w:szCs w:val="21"/>
              </w:rPr>
            </w:pPr>
            <w:r>
              <w:rPr>
                <w:rFonts w:ascii="宋体" w:hAnsi="宋体" w:cs="宋体" w:hint="eastAsia"/>
                <w:szCs w:val="21"/>
              </w:rPr>
              <w:t>4.</w:t>
            </w:r>
            <w:r>
              <w:rPr>
                <w:rFonts w:ascii="宋体" w:hAnsi="宋体" w:cs="宋体" w:hint="eastAsia"/>
                <w:szCs w:val="21"/>
              </w:rPr>
              <w:t>使用工业和信息化部统一制定的</w:t>
            </w:r>
            <w:r>
              <w:rPr>
                <w:rFonts w:ascii="宋体" w:hAnsi="宋体" w:cs="宋体" w:hint="eastAsia"/>
                <w:szCs w:val="21"/>
              </w:rPr>
              <w:t>监控化学品生产特别许可证书式样及生产特别许可审批结果备案表。</w:t>
            </w:r>
          </w:p>
          <w:p w:rsidR="00D24C1C" w:rsidRDefault="00793B58">
            <w:pPr>
              <w:rPr>
                <w:rFonts w:ascii="宋体" w:hAnsi="宋体" w:cs="宋体"/>
                <w:szCs w:val="21"/>
              </w:rPr>
            </w:pPr>
            <w:r>
              <w:rPr>
                <w:rFonts w:ascii="宋体" w:hAnsi="宋体" w:cs="宋体" w:hint="eastAsia"/>
                <w:szCs w:val="21"/>
              </w:rPr>
              <w:t>主要理由：</w:t>
            </w:r>
            <w:r>
              <w:rPr>
                <w:rFonts w:ascii="宋体" w:hAnsi="宋体" w:cs="宋体" w:hint="eastAsia"/>
                <w:szCs w:val="21"/>
              </w:rPr>
              <w:t>1.</w:t>
            </w:r>
            <w:r>
              <w:rPr>
                <w:rFonts w:ascii="宋体" w:hAnsi="宋体" w:cs="宋体" w:hint="eastAsia"/>
                <w:szCs w:val="21"/>
              </w:rPr>
              <w:t>改革前，企业需要办理初审、复审两道许可，取消一道能提高办证效率。</w:t>
            </w:r>
            <w:r>
              <w:rPr>
                <w:rFonts w:ascii="宋体" w:hAnsi="宋体" w:cs="宋体" w:hint="eastAsia"/>
                <w:szCs w:val="21"/>
              </w:rPr>
              <w:t>2.</w:t>
            </w:r>
            <w:r>
              <w:rPr>
                <w:rFonts w:ascii="宋体" w:hAnsi="宋体" w:cs="宋体" w:hint="eastAsia"/>
                <w:szCs w:val="21"/>
              </w:rPr>
              <w:t>取消该项许可后，仍通过省级工业和信息化主管部门的审批对企业经营条件进行审核把关。</w:t>
            </w:r>
          </w:p>
        </w:tc>
        <w:tc>
          <w:tcPr>
            <w:tcW w:w="4075" w:type="dxa"/>
            <w:vAlign w:val="center"/>
          </w:tcPr>
          <w:p w:rsidR="00D24C1C" w:rsidRDefault="00793B58">
            <w:pPr>
              <w:rPr>
                <w:rFonts w:ascii="宋体" w:hAnsi="宋体" w:cs="宋体"/>
                <w:szCs w:val="21"/>
              </w:rPr>
            </w:pPr>
            <w:r>
              <w:rPr>
                <w:rFonts w:ascii="宋体" w:hAnsi="宋体" w:cs="宋体" w:hint="eastAsia"/>
                <w:szCs w:val="21"/>
              </w:rPr>
              <w:t>1.</w:t>
            </w:r>
            <w:r>
              <w:rPr>
                <w:rFonts w:ascii="宋体" w:hAnsi="宋体" w:cs="宋体" w:hint="eastAsia"/>
                <w:szCs w:val="21"/>
              </w:rPr>
              <w:t>根据监控化学品企业风险高低，分别组织对重点监管对象专项检查和对其他企业“双随机、一公开”</w:t>
            </w:r>
            <w:r>
              <w:rPr>
                <w:rFonts w:ascii="宋体" w:hAnsi="宋体" w:cs="宋体" w:hint="eastAsia"/>
                <w:szCs w:val="21"/>
              </w:rPr>
              <w:t>监管</w:t>
            </w:r>
            <w:r>
              <w:rPr>
                <w:rFonts w:ascii="宋体" w:hAnsi="宋体" w:cs="宋体" w:hint="eastAsia"/>
                <w:szCs w:val="21"/>
              </w:rPr>
              <w:t>，依法查处违法违规生产活动并公开“双随机、一公开”检查结果。</w:t>
            </w:r>
          </w:p>
          <w:p w:rsidR="00D24C1C" w:rsidRDefault="00793B58">
            <w:pPr>
              <w:rPr>
                <w:rFonts w:ascii="宋体" w:hAnsi="宋体" w:cs="宋体"/>
                <w:szCs w:val="21"/>
              </w:rPr>
            </w:pPr>
            <w:r>
              <w:rPr>
                <w:rFonts w:ascii="宋体" w:hAnsi="宋体" w:cs="宋体" w:hint="eastAsia"/>
                <w:szCs w:val="21"/>
              </w:rPr>
              <w:t>2.</w:t>
            </w:r>
            <w:r>
              <w:rPr>
                <w:rFonts w:ascii="宋体" w:hAnsi="宋体" w:cs="宋体" w:hint="eastAsia"/>
                <w:szCs w:val="21"/>
              </w:rPr>
              <w:t>依法依规对失信主体开展失信惩戒。</w:t>
            </w:r>
          </w:p>
          <w:p w:rsidR="00D24C1C" w:rsidRDefault="00793B58">
            <w:pPr>
              <w:rPr>
                <w:rFonts w:ascii="宋体" w:hAnsi="宋体" w:cs="宋体"/>
                <w:szCs w:val="21"/>
              </w:rPr>
            </w:pPr>
            <w:r>
              <w:rPr>
                <w:rFonts w:ascii="宋体" w:hAnsi="宋体" w:cs="宋体" w:hint="eastAsia"/>
                <w:szCs w:val="21"/>
              </w:rPr>
              <w:t>3.</w:t>
            </w:r>
            <w:r>
              <w:rPr>
                <w:rFonts w:ascii="宋体" w:hAnsi="宋体" w:cs="宋体" w:hint="eastAsia"/>
                <w:szCs w:val="21"/>
              </w:rPr>
              <w:t>省级工业和信息化主管部门在颁发</w:t>
            </w:r>
            <w:r>
              <w:rPr>
                <w:rFonts w:ascii="宋体" w:hAnsi="宋体" w:cs="宋体" w:hint="eastAsia"/>
                <w:szCs w:val="21"/>
              </w:rPr>
              <w:t>监控化学品生产特别</w:t>
            </w:r>
            <w:r>
              <w:rPr>
                <w:rFonts w:ascii="宋体" w:hAnsi="宋体" w:cs="宋体" w:hint="eastAsia"/>
                <w:szCs w:val="21"/>
              </w:rPr>
              <w:t>许可证后</w:t>
            </w:r>
            <w:r>
              <w:rPr>
                <w:rFonts w:ascii="宋体" w:hAnsi="宋体" w:cs="宋体" w:hint="eastAsia"/>
                <w:szCs w:val="21"/>
              </w:rPr>
              <w:t>30</w:t>
            </w:r>
            <w:r>
              <w:rPr>
                <w:rFonts w:ascii="宋体" w:hAnsi="宋体" w:cs="宋体" w:hint="eastAsia"/>
                <w:szCs w:val="21"/>
              </w:rPr>
              <w:t>日</w:t>
            </w:r>
            <w:r>
              <w:rPr>
                <w:rFonts w:ascii="宋体" w:hAnsi="宋体" w:cs="宋体" w:hint="eastAsia"/>
                <w:szCs w:val="21"/>
              </w:rPr>
              <w:t>内，将许可证号、有效期、许可范围、产能信息等审批结果报工业和信息化部备案。</w:t>
            </w:r>
          </w:p>
          <w:p w:rsidR="00D24C1C" w:rsidRDefault="00D24C1C">
            <w:pPr>
              <w:rPr>
                <w:rFonts w:ascii="宋体" w:hAnsi="宋体" w:cs="宋体"/>
                <w:szCs w:val="21"/>
              </w:rPr>
            </w:pPr>
          </w:p>
        </w:tc>
        <w:tc>
          <w:tcPr>
            <w:tcW w:w="1725" w:type="dxa"/>
            <w:vAlign w:val="center"/>
          </w:tcPr>
          <w:p w:rsidR="00D24C1C" w:rsidRDefault="00793B58">
            <w:pPr>
              <w:rPr>
                <w:rFonts w:ascii="宋体" w:hAnsi="宋体" w:cs="宋体"/>
                <w:szCs w:val="21"/>
              </w:rPr>
            </w:pPr>
            <w:r>
              <w:rPr>
                <w:rFonts w:ascii="宋体" w:hAnsi="宋体" w:cs="宋体" w:hint="eastAsia"/>
                <w:szCs w:val="21"/>
              </w:rPr>
              <w:t>省市县三级工业和信息化部门依法实施监督检查，省级工业和信息化部门依法实施行政处罚</w:t>
            </w:r>
          </w:p>
        </w:tc>
      </w:tr>
    </w:tbl>
    <w:p w:rsidR="00D24C1C" w:rsidRDefault="00D24C1C">
      <w:pPr>
        <w:pStyle w:val="a0"/>
        <w:ind w:left="0"/>
        <w:rPr>
          <w:rFonts w:ascii="Times New Roman" w:eastAsia="仿宋_GB2312" w:hAnsi="Times New Roman"/>
          <w:lang w:eastAsia="zh-CN"/>
        </w:rPr>
      </w:pPr>
    </w:p>
    <w:p w:rsidR="00D24C1C" w:rsidRDefault="00D24C1C">
      <w:pPr>
        <w:ind w:firstLine="640"/>
        <w:rPr>
          <w:rFonts w:ascii="仿宋" w:eastAsia="仿宋" w:hAnsi="仿宋" w:cs="仿宋"/>
          <w:sz w:val="32"/>
          <w:szCs w:val="32"/>
        </w:rPr>
      </w:pPr>
    </w:p>
    <w:p w:rsidR="00D24C1C" w:rsidRDefault="00D24C1C">
      <w:pPr>
        <w:ind w:firstLine="640"/>
        <w:rPr>
          <w:rFonts w:ascii="仿宋" w:eastAsia="仿宋" w:hAnsi="仿宋" w:cs="仿宋"/>
          <w:sz w:val="32"/>
          <w:szCs w:val="32"/>
        </w:rPr>
      </w:pPr>
    </w:p>
    <w:p w:rsidR="00D24C1C" w:rsidRDefault="00D24C1C">
      <w:pPr>
        <w:ind w:firstLine="640"/>
        <w:rPr>
          <w:rFonts w:ascii="仿宋" w:eastAsia="仿宋" w:hAnsi="仿宋" w:cs="仿宋"/>
          <w:sz w:val="32"/>
          <w:szCs w:val="32"/>
        </w:rPr>
      </w:pPr>
      <w:bookmarkStart w:id="0" w:name="_GoBack"/>
      <w:bookmarkEnd w:id="0"/>
    </w:p>
    <w:sectPr w:rsidR="00D24C1C" w:rsidSect="00276C90">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B58" w:rsidRDefault="00793B58">
      <w:r>
        <w:separator/>
      </w:r>
    </w:p>
  </w:endnote>
  <w:endnote w:type="continuationSeparator" w:id="0">
    <w:p w:rsidR="00793B58" w:rsidRDefault="00793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altName w:val="DejaVu Sans"/>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B58" w:rsidRDefault="00793B58">
      <w:r>
        <w:separator/>
      </w:r>
    </w:p>
  </w:footnote>
  <w:footnote w:type="continuationSeparator" w:id="0">
    <w:p w:rsidR="00793B58" w:rsidRDefault="00793B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DBBBF"/>
    <w:multiLevelType w:val="singleLevel"/>
    <w:tmpl w:val="019DBBBF"/>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C1C"/>
    <w:rsid w:val="FF7FF565"/>
    <w:rsid w:val="00017B2D"/>
    <w:rsid w:val="00276C90"/>
    <w:rsid w:val="00793B58"/>
    <w:rsid w:val="00D24C1C"/>
    <w:rsid w:val="018E673D"/>
    <w:rsid w:val="01E96750"/>
    <w:rsid w:val="04405473"/>
    <w:rsid w:val="05E50E54"/>
    <w:rsid w:val="06EA0E4D"/>
    <w:rsid w:val="0EE26E35"/>
    <w:rsid w:val="11660E5E"/>
    <w:rsid w:val="11F64C88"/>
    <w:rsid w:val="13922C89"/>
    <w:rsid w:val="140F4F45"/>
    <w:rsid w:val="179A4C66"/>
    <w:rsid w:val="17D7760E"/>
    <w:rsid w:val="181B3354"/>
    <w:rsid w:val="18F2265D"/>
    <w:rsid w:val="192F5F21"/>
    <w:rsid w:val="1A375D78"/>
    <w:rsid w:val="1C617B85"/>
    <w:rsid w:val="1CC1305C"/>
    <w:rsid w:val="1E3B405C"/>
    <w:rsid w:val="20AA3D56"/>
    <w:rsid w:val="2268145C"/>
    <w:rsid w:val="23E9045D"/>
    <w:rsid w:val="255A20BC"/>
    <w:rsid w:val="29247305"/>
    <w:rsid w:val="29AD45C6"/>
    <w:rsid w:val="29FF6261"/>
    <w:rsid w:val="2A9C321C"/>
    <w:rsid w:val="2C3905DD"/>
    <w:rsid w:val="2C8C5E55"/>
    <w:rsid w:val="2CD04705"/>
    <w:rsid w:val="2D203CC5"/>
    <w:rsid w:val="2E666D34"/>
    <w:rsid w:val="311B29B2"/>
    <w:rsid w:val="314416AD"/>
    <w:rsid w:val="32883C1F"/>
    <w:rsid w:val="32B15EFF"/>
    <w:rsid w:val="3A3D28C1"/>
    <w:rsid w:val="3AF46D5A"/>
    <w:rsid w:val="3C7A48DC"/>
    <w:rsid w:val="401D44B5"/>
    <w:rsid w:val="41592096"/>
    <w:rsid w:val="41CF52AB"/>
    <w:rsid w:val="446F6472"/>
    <w:rsid w:val="44E61073"/>
    <w:rsid w:val="4538743E"/>
    <w:rsid w:val="46E8420B"/>
    <w:rsid w:val="4FF36F9A"/>
    <w:rsid w:val="51A11A7E"/>
    <w:rsid w:val="581A5B9E"/>
    <w:rsid w:val="5998532F"/>
    <w:rsid w:val="5AA6297A"/>
    <w:rsid w:val="5ACE710D"/>
    <w:rsid w:val="5C003624"/>
    <w:rsid w:val="5F8862C2"/>
    <w:rsid w:val="612007E0"/>
    <w:rsid w:val="62083F5C"/>
    <w:rsid w:val="66B53B66"/>
    <w:rsid w:val="68DA7727"/>
    <w:rsid w:val="6A793DC9"/>
    <w:rsid w:val="6BCF12E3"/>
    <w:rsid w:val="6F203FFD"/>
    <w:rsid w:val="6F3E12BC"/>
    <w:rsid w:val="70CE5CAE"/>
    <w:rsid w:val="73484BC8"/>
    <w:rsid w:val="74823199"/>
    <w:rsid w:val="74EA25C2"/>
    <w:rsid w:val="760C2E7E"/>
    <w:rsid w:val="773F2BEF"/>
    <w:rsid w:val="78824339"/>
    <w:rsid w:val="7F097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D95BABE5-0CD4-4140-9FC9-712F9520C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9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widowControl/>
      <w:spacing w:after="240"/>
      <w:ind w:left="142"/>
    </w:pPr>
    <w:rPr>
      <w:rFonts w:ascii="Verdana" w:hAnsi="Verdana"/>
      <w:kern w:val="0"/>
      <w:sz w:val="18"/>
      <w:lang w:val="zh-CN" w:eastAsia="en-US"/>
    </w:rPr>
  </w:style>
  <w:style w:type="paragraph" w:styleId="a4">
    <w:name w:val="Plain Text"/>
    <w:basedOn w:val="a"/>
    <w:qFormat/>
    <w:rPr>
      <w:rFonts w:ascii="宋体" w:hAnsi="Courier New" w:cs="Courier New"/>
      <w:szCs w:val="21"/>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Strong"/>
    <w:basedOn w:val="a1"/>
    <w:qFormat/>
    <w:rPr>
      <w:b/>
    </w:rPr>
  </w:style>
  <w:style w:type="table" w:styleId="a8">
    <w:name w:val="Table Grid"/>
    <w:basedOn w:val="a2"/>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446</Words>
  <Characters>2547</Characters>
  <Application>Microsoft Office Word</Application>
  <DocSecurity>0</DocSecurity>
  <Lines>21</Lines>
  <Paragraphs>5</Paragraphs>
  <ScaleCrop>false</ScaleCrop>
  <Company/>
  <LinksUpToDate>false</LinksUpToDate>
  <CharactersWithSpaces>2988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yan</cp:lastModifiedBy>
  <cp:revision>3</cp:revision>
  <dcterms:created xsi:type="dcterms:W3CDTF">2021-08-09T09:08:00Z</dcterms:created>
  <dcterms:modified xsi:type="dcterms:W3CDTF">2021-08-09T09:09:00Z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2052-10.8.0.7178</vt:lpwstr>
  </property>
</Properties>
</file>