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关于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《山东省传统工艺美术品种和技艺认定实施办法》《山东省工艺美术珍品认定实施办法》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的起草说明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/>
          <w:lang w:val="en-US" w:eastAsia="zh-CN"/>
        </w:rPr>
        <w:t>消费品产业处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为推动我省工艺美术产业高质量发展，加大对我省工艺美术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品种和技艺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珍品的保护和发展力度，带动技艺传承、创新，根据国务院《传统工艺美术保护条例》（2013年修订）、《山东省传统工艺美术保护办法》，结合我省工作实际，我们研究起草了《山东省传统工艺美术品种和技艺认定实施办法》《山东省工艺美术珍品认定实施办法》（以下简称《实施办法》），有关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一、《实施办法》制定必要性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（一）有利于弘扬齐鲁优秀传统文化。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的二十大报告围绕“推进文化自信自强，铸就社会主义文化新辉煌”作出了一系列重大战略部署。山东是孔孟之乡、龙山文化的发祥地，工艺美术历史悠久、技艺精湛，是中华民族优秀文化的智慧结晶和重要组成部分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实施办法》的制定是贯彻落实党的二十大精神的重要举措，是构建中华优秀传统文化传承体系，深入推进“文化”两创的具体实践，将为促进我省工艺美术事业的繁荣发展、促进齐鲁优秀传统文化传承创新提供更加有力的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kern w:val="2"/>
          <w:sz w:val="32"/>
          <w:szCs w:val="32"/>
          <w:lang w:val="en-US" w:eastAsia="zh-CN" w:bidi="ar-SA"/>
        </w:rPr>
        <w:t>（二）有利于擦亮“山东手造”金字品牌。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山东工艺美术品类齐全，涵盖工艺雕塑（玉雕、木雕、石雕）、漆器、珠宝首饰等11大类110余个品种。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品种、技艺和珍品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认定工作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展示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省工艺美术行业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的最高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技艺水平和最新成果，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有助于保护原创工艺美术作品，推动传统技艺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山东手造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”融合创新、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相互赋能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良性互动，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深耕齐鲁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人文沃土，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厚植“山东手造”文化底蕴，进一步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山东手造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品牌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美誉度和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（三）有利于助力乡村产业振兴。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工艺美术是我省传统优势产业的重要组成部分，产值和出口创汇长期位居全国前列，是典型的乡村产业、富民产业。省内不少乡村以工艺美术为重要支柱产业，如临沭柳编、广饶苇编等。开展工艺美术品种、技艺和珍品认定工作，对于提振行业信心、促进乡村产业振兴、吸收农民就业、带动人民增收等具有重要意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/>
        <w:textAlignment w:val="auto"/>
        <w:outlineLvl w:val="9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）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lang w:eastAsia="zh-CN"/>
        </w:rPr>
        <w:t>有利于规范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认定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lang w:eastAsia="zh-CN"/>
        </w:rPr>
        <w:t>工作。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《山东省传统工艺美术保护办法》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第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十一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条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中规定“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对传统工艺美术品种和技艺、工艺美术珍品、工艺美术大师实行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评审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认定制度。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”通过出台《实施办法》，可以进一步规范我省工艺美术品种和技艺、珍品认定工作相关要求和工作规程，确保评审过程和认定结果更加科学和完善。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编制过程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2023年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月，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在前期调研的基础上，省工业和信息化厅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启动了《实施办法》编制工作。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10月下旬，分别征求省有关部门、行业协会、行业专家、16市工信部门、重点企业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等意见，共收到意见建议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条。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2024年1月，在对意见建议进行充分论证的基础上，对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《实施办法》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进行了修改完善，并再次征求意见，收到意见建议1条并采纳吸收。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《实施办法》主要内容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《山东省传统工艺美术品种和技艺认定实施办法》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共八条，分别对传统工艺美术品种和技艺的范围和内涵、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组织实施主体、评审委员会设置和专家抽取、申报条件、评审步骤、名单公示、评审频次、实施时间进行了明确。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《山东省工艺美术珍品认定实施办法》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共十条，分别对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工艺美术珍品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内涵、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组织实施主体、评审委员会设置和专家抽取、专家评审、申请受理、申报材料、名单公示、</w:t>
      </w:r>
      <w:r>
        <w:rPr>
          <w:rFonts w:hint="eastAsia" w:ascii="仿宋_GB2312" w:hAnsi="仿宋_GB2312" w:eastAsia="仿宋_GB2312" w:cs="仿宋_GB2312"/>
          <w:snapToGrid w:val="0"/>
          <w:color w:val="000000"/>
          <w:w w:val="100"/>
          <w:kern w:val="0"/>
          <w:sz w:val="32"/>
          <w:szCs w:val="32"/>
          <w:lang w:val="en-US" w:eastAsia="zh-CN"/>
        </w:rPr>
        <w:t>认定表彰、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评审频次、实施时间进行了明确。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65C21"/>
    <w:rsid w:val="1B365C21"/>
    <w:rsid w:val="1D58ABFA"/>
    <w:rsid w:val="1F4F2913"/>
    <w:rsid w:val="2C6C1082"/>
    <w:rsid w:val="2FFE58D4"/>
    <w:rsid w:val="3ABFEFB3"/>
    <w:rsid w:val="3EFDD3EA"/>
    <w:rsid w:val="3F6BF817"/>
    <w:rsid w:val="3F7B158C"/>
    <w:rsid w:val="3F7D7795"/>
    <w:rsid w:val="4B6E2B25"/>
    <w:rsid w:val="4FFFFEEF"/>
    <w:rsid w:val="57BA6BAF"/>
    <w:rsid w:val="57EE1F41"/>
    <w:rsid w:val="5B7E4526"/>
    <w:rsid w:val="5EAD0DC3"/>
    <w:rsid w:val="6EFAE533"/>
    <w:rsid w:val="6F064AC0"/>
    <w:rsid w:val="70EDCF11"/>
    <w:rsid w:val="72CF45E6"/>
    <w:rsid w:val="733FB506"/>
    <w:rsid w:val="73F1247D"/>
    <w:rsid w:val="73FDCD2D"/>
    <w:rsid w:val="74BF48BC"/>
    <w:rsid w:val="75DFCBE6"/>
    <w:rsid w:val="76FF603A"/>
    <w:rsid w:val="77C92E5C"/>
    <w:rsid w:val="79FEB058"/>
    <w:rsid w:val="7A99AFEE"/>
    <w:rsid w:val="7DFB6B7E"/>
    <w:rsid w:val="7F5D8780"/>
    <w:rsid w:val="7F7E34D2"/>
    <w:rsid w:val="7FD6EAED"/>
    <w:rsid w:val="7FE70950"/>
    <w:rsid w:val="7FEFC9BD"/>
    <w:rsid w:val="8793CF30"/>
    <w:rsid w:val="9AFF1E4B"/>
    <w:rsid w:val="9F7D6E7D"/>
    <w:rsid w:val="AFDF4BDF"/>
    <w:rsid w:val="AFEF84C4"/>
    <w:rsid w:val="B4D71C6F"/>
    <w:rsid w:val="BBFFD572"/>
    <w:rsid w:val="BFEA66F5"/>
    <w:rsid w:val="CBBFF1A6"/>
    <w:rsid w:val="DBEBF9BB"/>
    <w:rsid w:val="DFF33E9A"/>
    <w:rsid w:val="DFFDAA12"/>
    <w:rsid w:val="DFFF1F1F"/>
    <w:rsid w:val="E57F0047"/>
    <w:rsid w:val="E76E178D"/>
    <w:rsid w:val="F35F0F62"/>
    <w:rsid w:val="F77E7E71"/>
    <w:rsid w:val="F97E7146"/>
    <w:rsid w:val="FA7DF8F2"/>
    <w:rsid w:val="FD7FFA80"/>
    <w:rsid w:val="FED7BA11"/>
    <w:rsid w:val="FF6E514C"/>
    <w:rsid w:val="FF7FA35D"/>
    <w:rsid w:val="FFEA56D0"/>
    <w:rsid w:val="FFFD1C2F"/>
    <w:rsid w:val="FFFDE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rFonts w:ascii="Calibri" w:hAnsi="Calibri"/>
      <w:sz w:val="30"/>
    </w:rPr>
  </w:style>
  <w:style w:type="paragraph" w:styleId="5">
    <w:name w:val="Body Text First Indent 2"/>
    <w:basedOn w:val="6"/>
    <w:next w:val="1"/>
    <w:qFormat/>
    <w:uiPriority w:val="99"/>
    <w:pPr>
      <w:ind w:firstLine="420" w:firstLineChars="200"/>
    </w:p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1">
    <w:name w:val="TOC1"/>
    <w:basedOn w:val="1"/>
    <w:next w:val="1"/>
    <w:qFormat/>
    <w:uiPriority w:val="0"/>
    <w:pPr>
      <w:snapToGrid w:val="0"/>
      <w:spacing w:line="640" w:lineRule="exact"/>
      <w:ind w:firstLine="705"/>
      <w:jc w:val="both"/>
    </w:pPr>
    <w:rPr>
      <w:rFonts w:ascii="仿宋_GB2312" w:eastAsia="仿宋_GB2312"/>
      <w:color w:val="000000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2023-11-08T11:10:00Z</dcterms:created>
  <dc:creator>PC</dc:creator>
  <cp:lastModifiedBy>user</cp:lastModifiedBy>
  <dcterms:modified xsi:type="dcterms:W3CDTF">2024-03-07T15:12:35Z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